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FB" w:rsidRPr="000A7802" w:rsidRDefault="005C0848" w:rsidP="00201C53">
      <w:pPr>
        <w:jc w:val="center"/>
        <w:rPr>
          <w:b/>
          <w:bCs/>
          <w:i/>
          <w:iCs/>
          <w:sz w:val="28"/>
          <w:szCs w:val="28"/>
          <w:lang w:val="en-US"/>
        </w:rPr>
      </w:pPr>
      <w:r w:rsidRPr="000A7802">
        <w:rPr>
          <w:b/>
          <w:bCs/>
          <w:i/>
          <w:iCs/>
          <w:sz w:val="28"/>
          <w:szCs w:val="28"/>
          <w:lang w:val="en-US"/>
        </w:rPr>
        <w:t xml:space="preserve">BRAIN </w:t>
      </w:r>
      <w:r w:rsidR="000A7802" w:rsidRPr="000A7802">
        <w:rPr>
          <w:b/>
          <w:bCs/>
          <w:i/>
          <w:iCs/>
          <w:sz w:val="28"/>
          <w:szCs w:val="28"/>
          <w:lang w:val="en-US"/>
        </w:rPr>
        <w:t>TRAINS:</w:t>
      </w:r>
      <w:r w:rsidR="000A7802" w:rsidRPr="000A7802">
        <w:rPr>
          <w:b/>
          <w:bCs/>
          <w:i/>
          <w:iCs/>
          <w:szCs w:val="28"/>
          <w:lang w:val="en-US"/>
        </w:rPr>
        <w:t xml:space="preserve"> </w:t>
      </w:r>
      <w:r w:rsidR="000A7802">
        <w:rPr>
          <w:b/>
          <w:bCs/>
          <w:i/>
          <w:iCs/>
          <w:sz w:val="28"/>
          <w:szCs w:val="28"/>
          <w:lang w:val="en-US"/>
        </w:rPr>
        <w:t>Intermodal</w:t>
      </w:r>
      <w:r w:rsidR="000A7802" w:rsidRPr="000A7802">
        <w:rPr>
          <w:b/>
          <w:bCs/>
          <w:i/>
          <w:iCs/>
          <w:szCs w:val="28"/>
          <w:lang w:val="en-US"/>
        </w:rPr>
        <w:t xml:space="preserve"> </w:t>
      </w:r>
      <w:r w:rsidR="000A7802">
        <w:rPr>
          <w:b/>
          <w:bCs/>
          <w:i/>
          <w:iCs/>
          <w:sz w:val="28"/>
          <w:szCs w:val="28"/>
          <w:lang w:val="en-US"/>
        </w:rPr>
        <w:t>rail</w:t>
      </w:r>
      <w:r w:rsidR="000A7802" w:rsidRPr="000A7802">
        <w:rPr>
          <w:b/>
          <w:bCs/>
          <w:i/>
          <w:iCs/>
          <w:szCs w:val="28"/>
          <w:lang w:val="en-US"/>
        </w:rPr>
        <w:t xml:space="preserve"> </w:t>
      </w:r>
      <w:r w:rsidR="000A7802" w:rsidRPr="000A7802">
        <w:rPr>
          <w:b/>
          <w:bCs/>
          <w:i/>
          <w:iCs/>
          <w:sz w:val="28"/>
          <w:szCs w:val="28"/>
          <w:lang w:val="en-US"/>
        </w:rPr>
        <w:t>freight</w:t>
      </w:r>
      <w:r w:rsidR="000A7802" w:rsidRPr="000A7802">
        <w:rPr>
          <w:b/>
          <w:bCs/>
          <w:i/>
          <w:iCs/>
          <w:szCs w:val="28"/>
          <w:lang w:val="en-US"/>
        </w:rPr>
        <w:t xml:space="preserve"> </w:t>
      </w:r>
      <w:r w:rsidRPr="000A7802">
        <w:rPr>
          <w:b/>
          <w:bCs/>
          <w:i/>
          <w:iCs/>
          <w:sz w:val="28"/>
          <w:szCs w:val="28"/>
          <w:lang w:val="en-US"/>
        </w:rPr>
        <w:t>transport</w:t>
      </w:r>
      <w:r w:rsidRPr="000A7802">
        <w:rPr>
          <w:b/>
          <w:bCs/>
          <w:i/>
          <w:iCs/>
          <w:szCs w:val="28"/>
          <w:lang w:val="en-US"/>
        </w:rPr>
        <w:t xml:space="preserve"> </w:t>
      </w:r>
      <w:r w:rsidRPr="000A7802">
        <w:rPr>
          <w:b/>
          <w:bCs/>
          <w:i/>
          <w:iCs/>
          <w:sz w:val="28"/>
          <w:szCs w:val="28"/>
          <w:lang w:val="en-US"/>
        </w:rPr>
        <w:t>and</w:t>
      </w:r>
      <w:r w:rsidRPr="000A7802">
        <w:rPr>
          <w:b/>
          <w:bCs/>
          <w:i/>
          <w:iCs/>
          <w:szCs w:val="28"/>
          <w:lang w:val="en-US"/>
        </w:rPr>
        <w:t xml:space="preserve"> </w:t>
      </w:r>
      <w:r w:rsidRPr="000A7802">
        <w:rPr>
          <w:b/>
          <w:bCs/>
          <w:i/>
          <w:iCs/>
          <w:sz w:val="28"/>
          <w:szCs w:val="28"/>
          <w:lang w:val="en-US"/>
        </w:rPr>
        <w:t>hinterland</w:t>
      </w:r>
      <w:r w:rsidRPr="000A7802">
        <w:rPr>
          <w:b/>
          <w:bCs/>
          <w:i/>
          <w:iCs/>
          <w:szCs w:val="28"/>
          <w:lang w:val="en-US"/>
        </w:rPr>
        <w:t xml:space="preserve"> </w:t>
      </w:r>
      <w:r w:rsidRPr="000A7802">
        <w:rPr>
          <w:b/>
          <w:bCs/>
          <w:i/>
          <w:iCs/>
          <w:sz w:val="28"/>
          <w:szCs w:val="28"/>
          <w:lang w:val="en-US"/>
        </w:rPr>
        <w:t>connections</w:t>
      </w:r>
    </w:p>
    <w:p w:rsidR="005C0848" w:rsidRPr="00723135" w:rsidRDefault="005C0848" w:rsidP="00201C53">
      <w:pPr>
        <w:jc w:val="center"/>
        <w:rPr>
          <w:bCs/>
          <w:i/>
          <w:iCs/>
          <w:sz w:val="28"/>
          <w:szCs w:val="28"/>
          <w:lang w:val="en-US"/>
        </w:rPr>
      </w:pPr>
      <w:r w:rsidRPr="00723135">
        <w:rPr>
          <w:bCs/>
          <w:i/>
          <w:iCs/>
          <w:sz w:val="28"/>
          <w:szCs w:val="28"/>
          <w:lang w:val="en-US"/>
        </w:rPr>
        <w:t xml:space="preserve">A SWOT analysis to </w:t>
      </w:r>
      <w:r w:rsidR="000A7802">
        <w:rPr>
          <w:bCs/>
          <w:i/>
          <w:iCs/>
          <w:sz w:val="28"/>
          <w:szCs w:val="28"/>
          <w:lang w:val="en-US"/>
        </w:rPr>
        <w:t>assess</w:t>
      </w:r>
      <w:r w:rsidRPr="00723135">
        <w:rPr>
          <w:bCs/>
          <w:i/>
          <w:iCs/>
          <w:sz w:val="28"/>
          <w:szCs w:val="28"/>
          <w:lang w:val="en-US"/>
        </w:rPr>
        <w:t xml:space="preserve"> the Belgian </w:t>
      </w:r>
      <w:r w:rsidR="00B60466" w:rsidRPr="00723135">
        <w:rPr>
          <w:bCs/>
          <w:i/>
          <w:iCs/>
          <w:sz w:val="28"/>
          <w:szCs w:val="28"/>
          <w:lang w:val="en-US"/>
        </w:rPr>
        <w:t>rail practice</w:t>
      </w:r>
    </w:p>
    <w:p w:rsidR="00201C53" w:rsidRPr="00723135" w:rsidRDefault="00201C53">
      <w:pPr>
        <w:rPr>
          <w:lang w:val="en-US"/>
        </w:rPr>
      </w:pPr>
    </w:p>
    <w:p w:rsidR="00201C53" w:rsidRPr="00723135" w:rsidRDefault="005C0848" w:rsidP="00201C53">
      <w:pPr>
        <w:ind w:left="5400"/>
        <w:rPr>
          <w:b/>
          <w:bCs/>
          <w:lang w:val="en-US"/>
        </w:rPr>
      </w:pPr>
      <w:r w:rsidRPr="00723135">
        <w:rPr>
          <w:b/>
          <w:bCs/>
          <w:lang w:val="en-US"/>
        </w:rPr>
        <w:t>Frank Troch</w:t>
      </w:r>
      <w:bookmarkStart w:id="0" w:name="_Ref416364069"/>
      <w:r w:rsidR="00201C53" w:rsidRPr="00723135">
        <w:rPr>
          <w:rStyle w:val="FootnoteReference"/>
          <w:b/>
          <w:bCs/>
          <w:lang w:val="en-US"/>
        </w:rPr>
        <w:footnoteReference w:id="1"/>
      </w:r>
      <w:bookmarkEnd w:id="0"/>
    </w:p>
    <w:p w:rsidR="005137EC" w:rsidRPr="00723135" w:rsidRDefault="005137EC" w:rsidP="00201C53">
      <w:pPr>
        <w:ind w:left="5400"/>
        <w:rPr>
          <w:i/>
          <w:iCs/>
          <w:lang w:val="en-US"/>
        </w:rPr>
      </w:pPr>
      <w:r w:rsidRPr="00723135">
        <w:rPr>
          <w:i/>
          <w:iCs/>
          <w:lang w:val="en-US"/>
        </w:rPr>
        <w:t xml:space="preserve">Thierry </w:t>
      </w:r>
      <w:proofErr w:type="spellStart"/>
      <w:r w:rsidRPr="00723135">
        <w:rPr>
          <w:i/>
          <w:iCs/>
          <w:lang w:val="en-US"/>
        </w:rPr>
        <w:t>Vanelslander</w:t>
      </w:r>
      <w:r w:rsidRPr="00723135">
        <w:rPr>
          <w:i/>
          <w:iCs/>
          <w:vertAlign w:val="superscript"/>
          <w:lang w:val="en-US"/>
        </w:rPr>
        <w:t>1</w:t>
      </w:r>
      <w:proofErr w:type="spellEnd"/>
    </w:p>
    <w:p w:rsidR="005137EC" w:rsidRPr="00723135" w:rsidRDefault="005137EC" w:rsidP="00201C53">
      <w:pPr>
        <w:ind w:left="5400"/>
        <w:rPr>
          <w:i/>
          <w:iCs/>
          <w:lang w:val="en-US"/>
        </w:rPr>
      </w:pPr>
      <w:r w:rsidRPr="00723135">
        <w:rPr>
          <w:i/>
          <w:iCs/>
          <w:lang w:val="en-US"/>
        </w:rPr>
        <w:t xml:space="preserve">Sandra </w:t>
      </w:r>
      <w:proofErr w:type="spellStart"/>
      <w:r w:rsidRPr="00723135">
        <w:rPr>
          <w:i/>
          <w:iCs/>
          <w:lang w:val="en-US"/>
        </w:rPr>
        <w:t>Belboom</w:t>
      </w:r>
      <w:proofErr w:type="spellEnd"/>
      <w:r w:rsidR="00D11973" w:rsidRPr="00723135">
        <w:rPr>
          <w:rStyle w:val="FootnoteReference"/>
          <w:bCs/>
          <w:i/>
          <w:lang w:val="en-US"/>
        </w:rPr>
        <w:footnoteReference w:id="2"/>
      </w:r>
    </w:p>
    <w:p w:rsidR="005137EC" w:rsidRPr="00723135" w:rsidRDefault="005137EC" w:rsidP="00201C53">
      <w:pPr>
        <w:ind w:left="5400"/>
        <w:rPr>
          <w:i/>
          <w:iCs/>
          <w:lang w:val="en-US"/>
        </w:rPr>
      </w:pPr>
      <w:r w:rsidRPr="00723135">
        <w:rPr>
          <w:i/>
          <w:iCs/>
          <w:lang w:val="en-US"/>
        </w:rPr>
        <w:t xml:space="preserve">Angélique </w:t>
      </w:r>
      <w:proofErr w:type="spellStart"/>
      <w:r w:rsidRPr="00723135">
        <w:rPr>
          <w:i/>
          <w:iCs/>
          <w:lang w:val="en-US"/>
        </w:rPr>
        <w:t>Léonard</w:t>
      </w:r>
      <w:r w:rsidR="00D11973" w:rsidRPr="00723135">
        <w:rPr>
          <w:i/>
          <w:iCs/>
          <w:vertAlign w:val="superscript"/>
          <w:lang w:val="en-US"/>
        </w:rPr>
        <w:t>2</w:t>
      </w:r>
      <w:proofErr w:type="spellEnd"/>
    </w:p>
    <w:p w:rsidR="00D11973" w:rsidRPr="00723135" w:rsidRDefault="00D11973" w:rsidP="00D11973">
      <w:pPr>
        <w:ind w:left="5400"/>
        <w:rPr>
          <w:i/>
          <w:iCs/>
          <w:lang w:val="en-US"/>
        </w:rPr>
      </w:pPr>
      <w:r w:rsidRPr="00723135">
        <w:rPr>
          <w:i/>
          <w:iCs/>
          <w:lang w:val="en-US"/>
        </w:rPr>
        <w:t>Sabine Limbourg</w:t>
      </w:r>
      <w:r w:rsidRPr="00723135">
        <w:rPr>
          <w:rStyle w:val="FootnoteReference"/>
          <w:bCs/>
          <w:i/>
          <w:lang w:val="en-US"/>
        </w:rPr>
        <w:footnoteReference w:id="3"/>
      </w:r>
    </w:p>
    <w:p w:rsidR="00D11973" w:rsidRPr="00723135" w:rsidRDefault="00D11973" w:rsidP="00D11973">
      <w:pPr>
        <w:ind w:left="5400"/>
        <w:rPr>
          <w:i/>
          <w:iCs/>
          <w:lang w:val="en-US"/>
        </w:rPr>
      </w:pPr>
      <w:r w:rsidRPr="00723135">
        <w:rPr>
          <w:i/>
          <w:iCs/>
          <w:lang w:val="en-US"/>
        </w:rPr>
        <w:t xml:space="preserve">Angel </w:t>
      </w:r>
      <w:proofErr w:type="spellStart"/>
      <w:r w:rsidRPr="00723135">
        <w:rPr>
          <w:i/>
          <w:iCs/>
          <w:lang w:val="en-US"/>
        </w:rPr>
        <w:t>Merchan</w:t>
      </w:r>
      <w:r w:rsidRPr="00723135">
        <w:rPr>
          <w:i/>
          <w:iCs/>
          <w:vertAlign w:val="superscript"/>
          <w:lang w:val="en-US"/>
        </w:rPr>
        <w:t>2</w:t>
      </w:r>
      <w:proofErr w:type="spellEnd"/>
    </w:p>
    <w:p w:rsidR="00D11973" w:rsidRPr="00723135" w:rsidRDefault="00D11973" w:rsidP="00D11973">
      <w:pPr>
        <w:ind w:left="5400"/>
        <w:rPr>
          <w:i/>
          <w:iCs/>
          <w:vertAlign w:val="superscript"/>
          <w:lang w:val="en-US"/>
        </w:rPr>
      </w:pPr>
      <w:r w:rsidRPr="00723135">
        <w:rPr>
          <w:i/>
          <w:iCs/>
          <w:lang w:val="en-US"/>
        </w:rPr>
        <w:t xml:space="preserve">Martine </w:t>
      </w:r>
      <w:proofErr w:type="spellStart"/>
      <w:r w:rsidRPr="00723135">
        <w:rPr>
          <w:i/>
          <w:iCs/>
          <w:lang w:val="en-US"/>
        </w:rPr>
        <w:t>Mostert</w:t>
      </w:r>
      <w:r w:rsidRPr="00723135">
        <w:rPr>
          <w:i/>
          <w:iCs/>
          <w:vertAlign w:val="superscript"/>
          <w:lang w:val="en-US"/>
        </w:rPr>
        <w:t>3</w:t>
      </w:r>
      <w:proofErr w:type="spellEnd"/>
    </w:p>
    <w:p w:rsidR="005C0848" w:rsidRPr="00723135" w:rsidRDefault="005C0848" w:rsidP="00201C53">
      <w:pPr>
        <w:ind w:left="5400"/>
        <w:rPr>
          <w:i/>
          <w:iCs/>
          <w:lang w:val="en-US"/>
        </w:rPr>
      </w:pPr>
      <w:r w:rsidRPr="00723135">
        <w:rPr>
          <w:i/>
          <w:iCs/>
          <w:lang w:val="en-US"/>
        </w:rPr>
        <w:t xml:space="preserve">Tom </w:t>
      </w:r>
      <w:proofErr w:type="spellStart"/>
      <w:r w:rsidRPr="00723135">
        <w:rPr>
          <w:i/>
          <w:iCs/>
          <w:lang w:val="en-US"/>
        </w:rPr>
        <w:t>Pauwels</w:t>
      </w:r>
      <w:r w:rsidRPr="00723135">
        <w:rPr>
          <w:i/>
          <w:iCs/>
          <w:vertAlign w:val="superscript"/>
          <w:lang w:val="en-US"/>
        </w:rPr>
        <w:t>1</w:t>
      </w:r>
      <w:proofErr w:type="spellEnd"/>
    </w:p>
    <w:p w:rsidR="00D11973" w:rsidRPr="00723135" w:rsidRDefault="00D11973" w:rsidP="00D11973">
      <w:pPr>
        <w:ind w:left="5400"/>
        <w:rPr>
          <w:i/>
          <w:iCs/>
          <w:lang w:val="en-US"/>
        </w:rPr>
      </w:pPr>
      <w:r w:rsidRPr="00723135">
        <w:rPr>
          <w:i/>
          <w:iCs/>
          <w:lang w:val="en-US"/>
        </w:rPr>
        <w:t>Vidar Stevens</w:t>
      </w:r>
      <w:bookmarkStart w:id="1" w:name="_Ref416364090"/>
      <w:r w:rsidRPr="00723135">
        <w:rPr>
          <w:rStyle w:val="FootnoteReference"/>
          <w:i/>
          <w:iCs/>
          <w:lang w:val="en-US"/>
        </w:rPr>
        <w:footnoteReference w:id="4"/>
      </w:r>
      <w:bookmarkEnd w:id="1"/>
    </w:p>
    <w:p w:rsidR="005C0848" w:rsidRPr="00723135" w:rsidRDefault="005C0848" w:rsidP="00201C53">
      <w:pPr>
        <w:ind w:left="5400"/>
        <w:rPr>
          <w:i/>
          <w:iCs/>
          <w:lang w:val="en-US"/>
        </w:rPr>
      </w:pPr>
      <w:r w:rsidRPr="00723135">
        <w:rPr>
          <w:i/>
          <w:iCs/>
          <w:lang w:val="en-US"/>
        </w:rPr>
        <w:t xml:space="preserve">Christa </w:t>
      </w:r>
      <w:proofErr w:type="spellStart"/>
      <w:r w:rsidRPr="00723135">
        <w:rPr>
          <w:i/>
          <w:iCs/>
          <w:lang w:val="en-US"/>
        </w:rPr>
        <w:t>Sys</w:t>
      </w:r>
      <w:r w:rsidRPr="00723135">
        <w:rPr>
          <w:i/>
          <w:iCs/>
          <w:vertAlign w:val="superscript"/>
          <w:lang w:val="en-US"/>
        </w:rPr>
        <w:t>1</w:t>
      </w:r>
      <w:proofErr w:type="spellEnd"/>
    </w:p>
    <w:p w:rsidR="00D11973" w:rsidRPr="00723135" w:rsidRDefault="00D11973" w:rsidP="00D11973">
      <w:pPr>
        <w:ind w:left="5400"/>
        <w:rPr>
          <w:i/>
          <w:iCs/>
          <w:lang w:val="en-US"/>
        </w:rPr>
      </w:pPr>
      <w:r w:rsidRPr="00723135">
        <w:rPr>
          <w:i/>
          <w:iCs/>
          <w:lang w:val="en-US"/>
        </w:rPr>
        <w:t xml:space="preserve">Christine </w:t>
      </w:r>
      <w:proofErr w:type="spellStart"/>
      <w:r w:rsidRPr="00723135">
        <w:rPr>
          <w:i/>
          <w:iCs/>
          <w:lang w:val="en-US"/>
        </w:rPr>
        <w:t>Tawfik</w:t>
      </w:r>
      <w:r w:rsidRPr="00723135">
        <w:rPr>
          <w:i/>
          <w:iCs/>
          <w:vertAlign w:val="superscript"/>
          <w:lang w:val="en-US"/>
        </w:rPr>
        <w:t>3</w:t>
      </w:r>
      <w:proofErr w:type="spellEnd"/>
    </w:p>
    <w:p w:rsidR="00D11973" w:rsidRPr="00723135" w:rsidRDefault="00D11973" w:rsidP="00D11973">
      <w:pPr>
        <w:ind w:left="5400"/>
        <w:rPr>
          <w:i/>
          <w:iCs/>
          <w:lang w:val="en-US"/>
        </w:rPr>
      </w:pPr>
      <w:r w:rsidRPr="00723135">
        <w:rPr>
          <w:i/>
          <w:iCs/>
          <w:lang w:val="en-US"/>
        </w:rPr>
        <w:t xml:space="preserve">Koen </w:t>
      </w:r>
      <w:proofErr w:type="spellStart"/>
      <w:r w:rsidRPr="00723135">
        <w:rPr>
          <w:i/>
          <w:iCs/>
          <w:lang w:val="en-US"/>
        </w:rPr>
        <w:t>Verhoest</w:t>
      </w:r>
      <w:r w:rsidRPr="00723135">
        <w:rPr>
          <w:i/>
          <w:iCs/>
          <w:vertAlign w:val="superscript"/>
          <w:lang w:val="en-US"/>
        </w:rPr>
        <w:t>4</w:t>
      </w:r>
      <w:proofErr w:type="spellEnd"/>
    </w:p>
    <w:p w:rsidR="00201C53" w:rsidRPr="00723135" w:rsidRDefault="00201C53" w:rsidP="00201C53">
      <w:pPr>
        <w:ind w:left="5400"/>
        <w:rPr>
          <w:i/>
          <w:iCs/>
          <w:lang w:val="en-US"/>
        </w:rPr>
      </w:pPr>
    </w:p>
    <w:p w:rsidR="00CC62D1" w:rsidRPr="00723135" w:rsidRDefault="00201C53" w:rsidP="00CC62D1">
      <w:pPr>
        <w:jc w:val="both"/>
        <w:rPr>
          <w:i/>
          <w:iCs/>
          <w:lang w:val="en-US"/>
        </w:rPr>
      </w:pPr>
      <w:r w:rsidRPr="00723135">
        <w:rPr>
          <w:b/>
          <w:bCs/>
          <w:i/>
          <w:iCs/>
          <w:sz w:val="20"/>
          <w:szCs w:val="20"/>
          <w:lang w:val="en-US"/>
        </w:rPr>
        <w:t>Abstract</w:t>
      </w:r>
      <w:r w:rsidRPr="00723135">
        <w:rPr>
          <w:lang w:val="en-US"/>
        </w:rPr>
        <w:t xml:space="preserve">: </w:t>
      </w:r>
      <w:r w:rsidR="005C0848" w:rsidRPr="00723135">
        <w:rPr>
          <w:i/>
          <w:iCs/>
          <w:lang w:val="en-US"/>
        </w:rPr>
        <w:t>This paper focuses on transversal research of the role and influences of rail</w:t>
      </w:r>
      <w:r w:rsidR="00046E8B">
        <w:rPr>
          <w:i/>
          <w:iCs/>
          <w:lang w:val="en-US"/>
        </w:rPr>
        <w:t xml:space="preserve"> freight</w:t>
      </w:r>
      <w:r w:rsidR="005C0848" w:rsidRPr="00723135">
        <w:rPr>
          <w:i/>
          <w:iCs/>
          <w:lang w:val="en-US"/>
        </w:rPr>
        <w:t xml:space="preserve"> transport, as a part of intermodal transport in Belgium. A SWOT analysis of the current situation is conducted, starting from the actual weak usage of this mode of transport. Five different fields have been identified, impacting the economy and society. Each field indicates critical internal strengths and weaknesses for intermodal rail transportation in Belgium, and identifies possible future developments and setbacks. A Delphi-like approach is used, including a heterogeneous panel of experts</w:t>
      </w:r>
      <w:r w:rsidR="00A2111B">
        <w:rPr>
          <w:i/>
          <w:iCs/>
          <w:lang w:val="en-US"/>
        </w:rPr>
        <w:t>,</w:t>
      </w:r>
      <w:r w:rsidR="005C0848" w:rsidRPr="00723135">
        <w:rPr>
          <w:i/>
          <w:iCs/>
          <w:lang w:val="en-US"/>
        </w:rPr>
        <w:t xml:space="preserve"> discussing and validating the SWOT results. To prioritize the characteristics, a survey on the different SWOT elements </w:t>
      </w:r>
      <w:r w:rsidR="0042299B">
        <w:rPr>
          <w:i/>
          <w:iCs/>
          <w:lang w:val="en-US"/>
        </w:rPr>
        <w:t>is</w:t>
      </w:r>
      <w:r w:rsidR="005C0848" w:rsidRPr="00723135">
        <w:rPr>
          <w:i/>
          <w:iCs/>
          <w:lang w:val="en-US"/>
        </w:rPr>
        <w:t xml:space="preserve"> performed, asking the experts to rate each statement on its influen</w:t>
      </w:r>
      <w:r w:rsidR="00895E74">
        <w:rPr>
          <w:i/>
          <w:iCs/>
          <w:lang w:val="en-US"/>
        </w:rPr>
        <w:t>ce and likelihood of happening, indicating the level of uncertainty</w:t>
      </w:r>
      <w:r w:rsidR="005C0848" w:rsidRPr="00723135">
        <w:rPr>
          <w:i/>
          <w:iCs/>
          <w:lang w:val="en-US"/>
        </w:rPr>
        <w:t>.</w:t>
      </w:r>
    </w:p>
    <w:p w:rsidR="005C0848" w:rsidRPr="00723135" w:rsidRDefault="005C0848" w:rsidP="00CC62D1">
      <w:pPr>
        <w:jc w:val="both"/>
        <w:rPr>
          <w:i/>
          <w:iCs/>
          <w:lang w:val="en-US"/>
        </w:rPr>
      </w:pPr>
    </w:p>
    <w:p w:rsidR="00CC62D1" w:rsidRPr="00723135" w:rsidRDefault="00CC62D1" w:rsidP="00CC62D1">
      <w:pPr>
        <w:jc w:val="both"/>
        <w:rPr>
          <w:lang w:val="en-US"/>
        </w:rPr>
      </w:pPr>
      <w:r w:rsidRPr="00723135">
        <w:rPr>
          <w:b/>
          <w:bCs/>
          <w:i/>
          <w:iCs/>
          <w:sz w:val="20"/>
          <w:szCs w:val="20"/>
          <w:lang w:val="en-US"/>
        </w:rPr>
        <w:t>Keywords</w:t>
      </w:r>
      <w:r w:rsidRPr="00723135">
        <w:rPr>
          <w:i/>
          <w:iCs/>
          <w:lang w:val="en-US"/>
        </w:rPr>
        <w:t>:</w:t>
      </w:r>
      <w:r w:rsidRPr="00723135">
        <w:rPr>
          <w:lang w:val="en-US"/>
        </w:rPr>
        <w:t xml:space="preserve"> </w:t>
      </w:r>
      <w:r w:rsidR="005C0848" w:rsidRPr="00723135">
        <w:rPr>
          <w:lang w:val="en-US"/>
        </w:rPr>
        <w:t>intermodality, rail freight, value added, sustainability, regulation, governance</w:t>
      </w:r>
    </w:p>
    <w:p w:rsidR="00CC62D1" w:rsidRPr="00723135" w:rsidRDefault="00CC62D1" w:rsidP="00CC62D1">
      <w:pPr>
        <w:jc w:val="both"/>
        <w:rPr>
          <w:lang w:val="en-US"/>
        </w:rPr>
      </w:pPr>
    </w:p>
    <w:p w:rsidR="00CC62D1" w:rsidRPr="00723135" w:rsidRDefault="00CC62D1" w:rsidP="00CC62D1">
      <w:pPr>
        <w:numPr>
          <w:ilvl w:val="0"/>
          <w:numId w:val="1"/>
        </w:numPr>
        <w:jc w:val="both"/>
        <w:rPr>
          <w:b/>
          <w:bCs/>
          <w:u w:val="single"/>
          <w:lang w:val="en-US"/>
        </w:rPr>
      </w:pPr>
      <w:r w:rsidRPr="00723135">
        <w:rPr>
          <w:b/>
          <w:bCs/>
          <w:u w:val="single"/>
          <w:lang w:val="en-US"/>
        </w:rPr>
        <w:t>Introduction</w:t>
      </w:r>
    </w:p>
    <w:p w:rsidR="00CC62D1" w:rsidRPr="00723135" w:rsidRDefault="00CC62D1" w:rsidP="00CC62D1">
      <w:pPr>
        <w:jc w:val="both"/>
        <w:rPr>
          <w:u w:val="single"/>
          <w:lang w:val="en-US"/>
        </w:rPr>
      </w:pPr>
    </w:p>
    <w:p w:rsidR="005A1BC3" w:rsidRPr="00723135" w:rsidRDefault="005A1BC3" w:rsidP="005A1BC3">
      <w:pPr>
        <w:jc w:val="both"/>
        <w:rPr>
          <w:lang w:val="en-US"/>
        </w:rPr>
      </w:pPr>
      <w:r w:rsidRPr="00723135">
        <w:rPr>
          <w:lang w:val="en-US"/>
        </w:rPr>
        <w:t xml:space="preserve">In 2011, the European Commission has set some very ambitious goals within </w:t>
      </w:r>
      <w:r w:rsidR="00EC65E7">
        <w:rPr>
          <w:lang w:val="en-US"/>
        </w:rPr>
        <w:t>its</w:t>
      </w:r>
      <w:r w:rsidRPr="00723135">
        <w:rPr>
          <w:lang w:val="en-US"/>
        </w:rPr>
        <w:t xml:space="preserve"> White Paper, in order to reach a more efficient and sustainable balance between the different modes of transport. The main strategy of the Commission is to encourage rail and waterborne transport, and to lower the dominant position of road transport in Europe. By 2030, it is the ambition to decrease the share of road freight with distances over 300 km by 30%. This shift is foreseen to go up to 50% by 2050. In order to do so, the White Paper anticipates on the development of </w:t>
      </w:r>
      <w:r w:rsidR="00D11973" w:rsidRPr="00723135">
        <w:rPr>
          <w:lang w:val="en-US"/>
        </w:rPr>
        <w:t>a</w:t>
      </w:r>
      <w:r w:rsidRPr="00723135">
        <w:rPr>
          <w:lang w:val="en-US"/>
        </w:rPr>
        <w:t xml:space="preserve"> European Single Transport Area, including optimal connections and fixed corridors, increasing the possibilities to efficiently shift from one mode to another (European Commission, 2011). </w:t>
      </w:r>
      <w:r w:rsidR="00EC65E7">
        <w:rPr>
          <w:lang w:val="en-US"/>
        </w:rPr>
        <w:t>Reviewing</w:t>
      </w:r>
      <w:r w:rsidRPr="00723135">
        <w:rPr>
          <w:lang w:val="en-US"/>
        </w:rPr>
        <w:t xml:space="preserve"> the existing literature and analyzing the available statistical data on the three </w:t>
      </w:r>
      <w:r w:rsidR="00A2111B">
        <w:rPr>
          <w:lang w:val="en-US"/>
        </w:rPr>
        <w:t>major</w:t>
      </w:r>
      <w:r w:rsidRPr="00723135">
        <w:rPr>
          <w:lang w:val="en-US"/>
        </w:rPr>
        <w:t xml:space="preserve"> inland transportation modes, it is clear that road transport is the dominant mode in Belgium, holding</w:t>
      </w:r>
      <w:r w:rsidR="00EC65E7">
        <w:rPr>
          <w:lang w:val="en-US"/>
        </w:rPr>
        <w:t xml:space="preserve"> a</w:t>
      </w:r>
      <w:r w:rsidR="0042299B">
        <w:rPr>
          <w:lang w:val="en-US"/>
        </w:rPr>
        <w:t>n estimated</w:t>
      </w:r>
      <w:r w:rsidR="00EC65E7">
        <w:rPr>
          <w:lang w:val="en-US"/>
        </w:rPr>
        <w:t xml:space="preserve"> market share of 70.6% in 2012, measured as a percentage</w:t>
      </w:r>
      <w:r w:rsidR="006008E0">
        <w:rPr>
          <w:lang w:val="en-US"/>
        </w:rPr>
        <w:t xml:space="preserve"> of the total ton</w:t>
      </w:r>
      <w:r w:rsidR="00EC65E7">
        <w:rPr>
          <w:lang w:val="en-US"/>
        </w:rPr>
        <w:t>-kilometers (tkm)</w:t>
      </w:r>
      <w:r w:rsidRPr="00723135">
        <w:rPr>
          <w:lang w:val="en-US"/>
        </w:rPr>
        <w:t>. Inland waterways and rail reach a market share of respectively 17.1% and 12.3%</w:t>
      </w:r>
      <w:r w:rsidR="0043331A">
        <w:rPr>
          <w:rStyle w:val="FootnoteReference"/>
          <w:lang w:val="en-US"/>
        </w:rPr>
        <w:footnoteReference w:id="5"/>
      </w:r>
      <w:r w:rsidRPr="00723135">
        <w:rPr>
          <w:lang w:val="en-US"/>
        </w:rPr>
        <w:t xml:space="preserve"> (</w:t>
      </w:r>
      <w:r w:rsidR="00EC65E7">
        <w:rPr>
          <w:lang w:val="en-US"/>
        </w:rPr>
        <w:t>Eurostat, 2014</w:t>
      </w:r>
      <w:r w:rsidRPr="00723135">
        <w:rPr>
          <w:lang w:val="en-US"/>
        </w:rPr>
        <w:t xml:space="preserve">). In order to increase the use of more sustainable modes of transport, </w:t>
      </w:r>
      <w:r w:rsidRPr="00723135">
        <w:rPr>
          <w:lang w:val="en-US"/>
        </w:rPr>
        <w:lastRenderedPageBreak/>
        <w:t>such as the latter two, an improved interoperability between the modes of transport is required, lifting the attractiveness of intermodal transport in general (</w:t>
      </w:r>
      <w:proofErr w:type="spellStart"/>
      <w:r w:rsidRPr="00723135">
        <w:rPr>
          <w:lang w:val="en-US"/>
        </w:rPr>
        <w:t>Gevaers</w:t>
      </w:r>
      <w:proofErr w:type="spellEnd"/>
      <w:r w:rsidRPr="00723135">
        <w:rPr>
          <w:lang w:val="en-US"/>
        </w:rPr>
        <w:t xml:space="preserve"> et al., 2012).</w:t>
      </w:r>
    </w:p>
    <w:p w:rsidR="005A1BC3" w:rsidRPr="00723135" w:rsidRDefault="005A1BC3" w:rsidP="005A1BC3">
      <w:pPr>
        <w:jc w:val="both"/>
        <w:rPr>
          <w:lang w:val="en-US"/>
        </w:rPr>
      </w:pPr>
    </w:p>
    <w:p w:rsidR="00D11973" w:rsidRPr="00723135" w:rsidRDefault="005A1BC3" w:rsidP="005A1BC3">
      <w:pPr>
        <w:jc w:val="both"/>
        <w:rPr>
          <w:lang w:val="en-US"/>
        </w:rPr>
      </w:pPr>
      <w:r w:rsidRPr="00723135">
        <w:rPr>
          <w:lang w:val="en-US"/>
        </w:rPr>
        <w:t xml:space="preserve">This paper is focusing on the development and results of a SWOT analysis concerning the current state of intermodal rail freight transportation in Belgium. Special attention is given to the </w:t>
      </w:r>
      <w:r w:rsidR="00895E74">
        <w:rPr>
          <w:lang w:val="en-US"/>
        </w:rPr>
        <w:t xml:space="preserve">methodology used to make a selection of the most important elements, in terms of impact and likelihood of happening, in order to focus on these </w:t>
      </w:r>
      <w:r w:rsidR="0042299B">
        <w:rPr>
          <w:lang w:val="en-US"/>
        </w:rPr>
        <w:t>outputs</w:t>
      </w:r>
      <w:r w:rsidRPr="00723135">
        <w:rPr>
          <w:lang w:val="en-US"/>
        </w:rPr>
        <w:t>. This analysis is part of a transversal research of the role and influences of rail transport intermodality in Belgium, projected in BRAIN-TRAINS</w:t>
      </w:r>
      <w:r w:rsidR="00D11973" w:rsidRPr="00723135">
        <w:rPr>
          <w:rStyle w:val="FootnoteReference"/>
          <w:lang w:val="en-US"/>
        </w:rPr>
        <w:footnoteReference w:id="6"/>
      </w:r>
      <w:r w:rsidRPr="00723135">
        <w:rPr>
          <w:lang w:val="en-US"/>
        </w:rPr>
        <w:t>. A starting point is the current relatively weak usage of this mode of transport in Belgium and the European continent in general. The goal of this analysis is to create a threshold, from which it is possible to start the identification of the impact of a changed environment, leading to a change in the use of intermodal rail freight</w:t>
      </w:r>
      <w:r w:rsidR="00D11973" w:rsidRPr="00723135">
        <w:rPr>
          <w:rStyle w:val="FootnoteReference"/>
          <w:lang w:val="en-US"/>
        </w:rPr>
        <w:footnoteReference w:id="7"/>
      </w:r>
      <w:r w:rsidRPr="00723135">
        <w:rPr>
          <w:lang w:val="en-US"/>
        </w:rPr>
        <w:t>. The strengths-weaknesses analysis, as well as the opportunities-threats analysis, are therefore concentrated around five main subjects:</w:t>
      </w:r>
    </w:p>
    <w:p w:rsidR="00D11973" w:rsidRPr="00723135" w:rsidRDefault="005A1BC3" w:rsidP="005A1BC3">
      <w:pPr>
        <w:numPr>
          <w:ilvl w:val="0"/>
          <w:numId w:val="3"/>
        </w:numPr>
        <w:jc w:val="both"/>
        <w:rPr>
          <w:lang w:val="en-US"/>
        </w:rPr>
      </w:pPr>
      <w:r w:rsidRPr="00723135">
        <w:rPr>
          <w:lang w:val="en-US"/>
        </w:rPr>
        <w:t>Optimal corridor and hub development.</w:t>
      </w:r>
    </w:p>
    <w:p w:rsidR="00D11973" w:rsidRPr="00723135" w:rsidRDefault="005A1BC3" w:rsidP="005A1BC3">
      <w:pPr>
        <w:numPr>
          <w:ilvl w:val="0"/>
          <w:numId w:val="3"/>
        </w:numPr>
        <w:jc w:val="both"/>
        <w:rPr>
          <w:lang w:val="en-US"/>
        </w:rPr>
      </w:pPr>
      <w:r w:rsidRPr="00723135">
        <w:rPr>
          <w:lang w:val="en-US"/>
        </w:rPr>
        <w:t xml:space="preserve">Macro-economic impact of intermodality. </w:t>
      </w:r>
    </w:p>
    <w:p w:rsidR="00D11973" w:rsidRPr="00723135" w:rsidRDefault="005A1BC3" w:rsidP="005A1BC3">
      <w:pPr>
        <w:numPr>
          <w:ilvl w:val="0"/>
          <w:numId w:val="3"/>
        </w:numPr>
        <w:jc w:val="both"/>
        <w:rPr>
          <w:lang w:val="en-US"/>
        </w:rPr>
      </w:pPr>
      <w:r w:rsidRPr="00723135">
        <w:rPr>
          <w:lang w:val="en-US"/>
        </w:rPr>
        <w:t>Sustainability impact of intermodality.</w:t>
      </w:r>
    </w:p>
    <w:p w:rsidR="00D11973" w:rsidRPr="00723135" w:rsidRDefault="005A1BC3" w:rsidP="005A1BC3">
      <w:pPr>
        <w:numPr>
          <w:ilvl w:val="0"/>
          <w:numId w:val="3"/>
        </w:numPr>
        <w:jc w:val="both"/>
        <w:rPr>
          <w:lang w:val="en-US"/>
        </w:rPr>
      </w:pPr>
      <w:r w:rsidRPr="00723135">
        <w:rPr>
          <w:lang w:val="en-US"/>
        </w:rPr>
        <w:t>Effective market regulation for a well-functioning intermodality.</w:t>
      </w:r>
    </w:p>
    <w:p w:rsidR="005A1BC3" w:rsidRPr="00723135" w:rsidRDefault="005A1BC3" w:rsidP="005A1BC3">
      <w:pPr>
        <w:numPr>
          <w:ilvl w:val="0"/>
          <w:numId w:val="3"/>
        </w:numPr>
        <w:jc w:val="both"/>
        <w:rPr>
          <w:lang w:val="en-US"/>
        </w:rPr>
      </w:pPr>
      <w:r w:rsidRPr="00723135">
        <w:rPr>
          <w:lang w:val="en-US"/>
        </w:rPr>
        <w:t>Governance and organization for a well-functioning intermodality.</w:t>
      </w:r>
    </w:p>
    <w:p w:rsidR="005A1BC3" w:rsidRPr="00723135" w:rsidRDefault="005A1BC3" w:rsidP="005A1BC3">
      <w:pPr>
        <w:jc w:val="both"/>
        <w:rPr>
          <w:lang w:val="en-US"/>
        </w:rPr>
      </w:pPr>
    </w:p>
    <w:p w:rsidR="005A1BC3" w:rsidRPr="00723135" w:rsidRDefault="005A1BC3" w:rsidP="005A1BC3">
      <w:pPr>
        <w:jc w:val="both"/>
        <w:rPr>
          <w:lang w:val="en-US"/>
        </w:rPr>
      </w:pPr>
      <w:r w:rsidRPr="00723135">
        <w:rPr>
          <w:lang w:val="en-US"/>
        </w:rPr>
        <w:t xml:space="preserve">These five areas are not selected randomly, as they are linked to the different actors involved in the network of intermodal rail freight transportation, creating synergies and added value. When the relations between rail freight actors with a transport contract are analyzed from the point of view of payment flows, each logistics chain will start with a transport order from the party responsible for the delivery of the cargo. They are the demanding party in the transport market. Depending on the volume, this order can be placed directly at a rail company, but can also be distributed towards an (integrated) logistics service provider, a shipping agent or an intermodal rail freight organizer. They will organize the flow of goods until the destination. In order to execute the first mile or last mile of the transport in the hinterland, contact with transport companies will be sought by these parties. The rail terminal operator is responsible for the operations on the </w:t>
      </w:r>
      <w:proofErr w:type="spellStart"/>
      <w:r w:rsidRPr="00723135">
        <w:rPr>
          <w:lang w:val="en-US"/>
        </w:rPr>
        <w:t>transhipment</w:t>
      </w:r>
      <w:proofErr w:type="spellEnd"/>
      <w:r w:rsidRPr="00723135">
        <w:rPr>
          <w:lang w:val="en-US"/>
        </w:rPr>
        <w:t xml:space="preserve"> terminal and can be contacted directly by the rail company, as well as by the different parties involved in the organization of the most optimal cargo stream to destination. In addition, the rail company is also linked to a number of suppliers. The infrastructure manager is in charge of the distribution of network capacity and the maintenance of the infrastructure. Rail companies have to pay a fee to the infrastructure manager for the use of the network. Banks and insurance companies deliver the necessary financial support for investment in rail equipment. This equipment is often produced by rail suppliers, who are the last important actor in the chain of rail freight transportation.</w:t>
      </w:r>
    </w:p>
    <w:p w:rsidR="005A1BC3" w:rsidRPr="00723135" w:rsidRDefault="005A1BC3" w:rsidP="005A1BC3">
      <w:pPr>
        <w:jc w:val="both"/>
        <w:rPr>
          <w:lang w:val="en-US"/>
        </w:rPr>
      </w:pPr>
    </w:p>
    <w:p w:rsidR="005A1BC3" w:rsidRPr="00723135" w:rsidRDefault="005A1BC3" w:rsidP="005A1BC3">
      <w:pPr>
        <w:jc w:val="both"/>
        <w:rPr>
          <w:lang w:val="en-US"/>
        </w:rPr>
      </w:pPr>
      <w:r w:rsidRPr="00723135">
        <w:rPr>
          <w:lang w:val="en-US"/>
        </w:rPr>
        <w:t xml:space="preserve">It should be clear that, although all actors are crosswise related to these fields, some show stronger relationships with one or more topics. For example, the railway infrastructure manager will have a direct interest in the optimal corridor and hub development. With the current selection of research areas, all interests of the different players are incorporated in the analysis </w:t>
      </w:r>
      <w:r w:rsidRPr="00723135">
        <w:rPr>
          <w:lang w:val="en-US"/>
        </w:rPr>
        <w:lastRenderedPageBreak/>
        <w:t xml:space="preserve">of the current state. In addition, by developing the SWOT for intermodal rail freight from an interdisciplinary approach, both </w:t>
      </w:r>
      <w:proofErr w:type="spellStart"/>
      <w:r w:rsidRPr="00723135">
        <w:rPr>
          <w:lang w:val="en-US"/>
        </w:rPr>
        <w:t>scientif</w:t>
      </w:r>
      <w:r w:rsidR="00EC65E7">
        <w:rPr>
          <w:lang w:val="en-US"/>
        </w:rPr>
        <w:t>ic</w:t>
      </w:r>
      <w:r w:rsidR="00285AFB">
        <w:rPr>
          <w:lang w:val="en-US"/>
        </w:rPr>
        <w:t>al</w:t>
      </w:r>
      <w:proofErr w:type="spellEnd"/>
      <w:r w:rsidR="00EC65E7">
        <w:rPr>
          <w:lang w:val="en-US"/>
        </w:rPr>
        <w:t>, sectorial as well as policy-</w:t>
      </w:r>
      <w:r w:rsidRPr="00723135">
        <w:rPr>
          <w:lang w:val="en-US"/>
        </w:rPr>
        <w:t xml:space="preserve">related added value can be generated. </w:t>
      </w:r>
      <w:r w:rsidR="00D11973" w:rsidRPr="00723135">
        <w:rPr>
          <w:lang w:val="en-US"/>
        </w:rPr>
        <w:t>Scientifically</w:t>
      </w:r>
      <w:r w:rsidRPr="00723135">
        <w:rPr>
          <w:lang w:val="en-US"/>
        </w:rPr>
        <w:t xml:space="preserve">, as existing research is mainly focusing on one mode of transport, not taking into account the full chain perspective. Sectorial, as </w:t>
      </w:r>
      <w:r w:rsidR="00EC65E7">
        <w:rPr>
          <w:lang w:val="en-US"/>
        </w:rPr>
        <w:t xml:space="preserve">rail </w:t>
      </w:r>
      <w:r w:rsidRPr="00723135">
        <w:rPr>
          <w:lang w:val="en-US"/>
        </w:rPr>
        <w:t xml:space="preserve">transport companies are still working </w:t>
      </w:r>
      <w:r w:rsidR="00EC65E7">
        <w:rPr>
          <w:lang w:val="en-US"/>
        </w:rPr>
        <w:t>in isolation</w:t>
      </w:r>
      <w:r w:rsidRPr="00723135">
        <w:rPr>
          <w:lang w:val="en-US"/>
        </w:rPr>
        <w:t>, with no or little co</w:t>
      </w:r>
      <w:r w:rsidR="00EC65E7">
        <w:rPr>
          <w:lang w:val="en-US"/>
        </w:rPr>
        <w:t>-</w:t>
      </w:r>
      <w:r w:rsidRPr="00723135">
        <w:rPr>
          <w:lang w:val="en-US"/>
        </w:rPr>
        <w:t xml:space="preserve">operation. For policy-makers, as the responsibilities for intermodal rail transportation in Belgium are split over different levels (regional, federal and European), </w:t>
      </w:r>
      <w:r w:rsidR="00EC65E7">
        <w:rPr>
          <w:lang w:val="en-US"/>
        </w:rPr>
        <w:t xml:space="preserve">ideally </w:t>
      </w:r>
      <w:r w:rsidRPr="00723135">
        <w:rPr>
          <w:lang w:val="en-US"/>
        </w:rPr>
        <w:t>all supporting and working towards the same end result.</w:t>
      </w:r>
    </w:p>
    <w:p w:rsidR="005A1BC3" w:rsidRPr="00723135" w:rsidRDefault="005A1BC3" w:rsidP="005A1BC3">
      <w:pPr>
        <w:jc w:val="both"/>
        <w:rPr>
          <w:lang w:val="en-US"/>
        </w:rPr>
      </w:pPr>
    </w:p>
    <w:p w:rsidR="005A1BC3" w:rsidRPr="00723135" w:rsidRDefault="00D11973" w:rsidP="005A1BC3">
      <w:pPr>
        <w:jc w:val="both"/>
        <w:rPr>
          <w:lang w:val="en-US"/>
        </w:rPr>
      </w:pPr>
      <w:r w:rsidRPr="00723135">
        <w:rPr>
          <w:lang w:val="en-US"/>
        </w:rPr>
        <w:t>In section 2,</w:t>
      </w:r>
      <w:r w:rsidR="005A1BC3" w:rsidRPr="00723135">
        <w:rPr>
          <w:lang w:val="en-US"/>
        </w:rPr>
        <w:t xml:space="preserve"> an overview is given on the methodology used to establish the SWOT analysis. A va</w:t>
      </w:r>
      <w:r w:rsidR="00C54B84">
        <w:rPr>
          <w:lang w:val="en-US"/>
        </w:rPr>
        <w:t xml:space="preserve">riation of the Delphi </w:t>
      </w:r>
      <w:r w:rsidR="005A1BC3" w:rsidRPr="00723135">
        <w:rPr>
          <w:lang w:val="en-US"/>
        </w:rPr>
        <w:t xml:space="preserve">method is combined with a qualitative literature study and a quantitative survey on the importance and likelihood of the different identified characteristics of intermodal rail transport. The results of this analysis are summarized in section </w:t>
      </w:r>
      <w:r w:rsidRPr="00723135">
        <w:rPr>
          <w:lang w:val="en-US"/>
        </w:rPr>
        <w:t>3</w:t>
      </w:r>
      <w:r w:rsidR="005A1BC3" w:rsidRPr="00723135">
        <w:rPr>
          <w:lang w:val="en-US"/>
        </w:rPr>
        <w:t xml:space="preserve">. Some final conclusions are made in section </w:t>
      </w:r>
      <w:r w:rsidRPr="00723135">
        <w:rPr>
          <w:lang w:val="en-US"/>
        </w:rPr>
        <w:t>4</w:t>
      </w:r>
      <w:r w:rsidR="005A1BC3" w:rsidRPr="00723135">
        <w:rPr>
          <w:lang w:val="en-US"/>
        </w:rPr>
        <w:t>.</w:t>
      </w:r>
    </w:p>
    <w:p w:rsidR="008E4EDE" w:rsidRPr="00723135" w:rsidRDefault="008E4EDE" w:rsidP="008E4EDE">
      <w:pPr>
        <w:jc w:val="both"/>
        <w:rPr>
          <w:lang w:val="en-US"/>
        </w:rPr>
      </w:pPr>
    </w:p>
    <w:p w:rsidR="008E4EDE" w:rsidRPr="00723135" w:rsidRDefault="007758D5" w:rsidP="008E4EDE">
      <w:pPr>
        <w:numPr>
          <w:ilvl w:val="0"/>
          <w:numId w:val="1"/>
        </w:numPr>
        <w:jc w:val="both"/>
        <w:rPr>
          <w:b/>
          <w:bCs/>
          <w:u w:val="single"/>
          <w:lang w:val="en-US"/>
        </w:rPr>
      </w:pPr>
      <w:r w:rsidRPr="00723135">
        <w:rPr>
          <w:b/>
          <w:bCs/>
          <w:u w:val="single"/>
          <w:lang w:val="en-US"/>
        </w:rPr>
        <w:t>Methodology</w:t>
      </w:r>
    </w:p>
    <w:p w:rsidR="008E4EDE" w:rsidRPr="00723135" w:rsidRDefault="008E4EDE" w:rsidP="008E4EDE">
      <w:pPr>
        <w:jc w:val="both"/>
        <w:rPr>
          <w:u w:val="single"/>
          <w:lang w:val="en-US"/>
        </w:rPr>
      </w:pPr>
    </w:p>
    <w:p w:rsidR="007758D5" w:rsidRPr="00723135" w:rsidRDefault="007758D5" w:rsidP="008E4EDE">
      <w:pPr>
        <w:jc w:val="both"/>
        <w:rPr>
          <w:lang w:val="en-US"/>
        </w:rPr>
      </w:pPr>
      <w:r w:rsidRPr="00723135">
        <w:rPr>
          <w:lang w:val="en-US"/>
        </w:rPr>
        <w:t>This section discusses the used methodology for the creation of the SW</w:t>
      </w:r>
      <w:r w:rsidR="00C54B84">
        <w:rPr>
          <w:lang w:val="en-US"/>
        </w:rPr>
        <w:t xml:space="preserve">OT. An adaptation of the Delphi </w:t>
      </w:r>
      <w:r w:rsidRPr="00723135">
        <w:rPr>
          <w:lang w:val="en-US"/>
        </w:rPr>
        <w:t>technique is combined with a statistical analysis of the survey results.</w:t>
      </w:r>
    </w:p>
    <w:p w:rsidR="007758D5" w:rsidRPr="00723135" w:rsidRDefault="007758D5" w:rsidP="008E4EDE">
      <w:pPr>
        <w:jc w:val="both"/>
        <w:rPr>
          <w:u w:val="single"/>
          <w:lang w:val="en-US"/>
        </w:rPr>
      </w:pPr>
    </w:p>
    <w:p w:rsidR="007758D5" w:rsidRPr="00723135" w:rsidRDefault="007758D5" w:rsidP="007758D5">
      <w:pPr>
        <w:numPr>
          <w:ilvl w:val="1"/>
          <w:numId w:val="1"/>
        </w:numPr>
        <w:ind w:left="284" w:firstLine="0"/>
        <w:jc w:val="both"/>
        <w:rPr>
          <w:b/>
          <w:bCs/>
          <w:lang w:val="en-US"/>
        </w:rPr>
      </w:pPr>
      <w:r w:rsidRPr="00723135">
        <w:rPr>
          <w:b/>
          <w:bCs/>
          <w:lang w:val="en-US"/>
        </w:rPr>
        <w:t>Adaptati</w:t>
      </w:r>
      <w:r w:rsidR="00C54B84">
        <w:rPr>
          <w:b/>
          <w:bCs/>
          <w:lang w:val="en-US"/>
        </w:rPr>
        <w:t xml:space="preserve">on of the Delphi </w:t>
      </w:r>
      <w:r w:rsidRPr="00723135">
        <w:rPr>
          <w:b/>
          <w:bCs/>
          <w:lang w:val="en-US"/>
        </w:rPr>
        <w:t>technique</w:t>
      </w:r>
    </w:p>
    <w:p w:rsidR="007758D5" w:rsidRPr="00723135" w:rsidRDefault="007758D5" w:rsidP="00B60466">
      <w:pPr>
        <w:jc w:val="both"/>
        <w:rPr>
          <w:bCs/>
          <w:lang w:val="en-US"/>
        </w:rPr>
      </w:pPr>
      <w:r w:rsidRPr="00723135">
        <w:rPr>
          <w:bCs/>
          <w:lang w:val="en-US"/>
        </w:rPr>
        <w:t xml:space="preserve">According to </w:t>
      </w:r>
      <w:r w:rsidR="00B60466" w:rsidRPr="00723135">
        <w:rPr>
          <w:bCs/>
          <w:lang w:val="en-US"/>
        </w:rPr>
        <w:t xml:space="preserve">Hsu and </w:t>
      </w:r>
      <w:proofErr w:type="spellStart"/>
      <w:r w:rsidR="00B60466" w:rsidRPr="00723135">
        <w:rPr>
          <w:bCs/>
          <w:lang w:val="en-US"/>
        </w:rPr>
        <w:t>Sandford</w:t>
      </w:r>
      <w:proofErr w:type="spellEnd"/>
      <w:r w:rsidR="00B60466" w:rsidRPr="00723135">
        <w:rPr>
          <w:bCs/>
          <w:lang w:val="en-US"/>
        </w:rPr>
        <w:t xml:space="preserve"> (2007)</w:t>
      </w:r>
      <w:r w:rsidR="00C54B84">
        <w:rPr>
          <w:bCs/>
          <w:lang w:val="en-US"/>
        </w:rPr>
        <w:t xml:space="preserve">, the Delphi </w:t>
      </w:r>
      <w:r w:rsidRPr="00723135">
        <w:rPr>
          <w:bCs/>
          <w:lang w:val="en-US"/>
        </w:rPr>
        <w:t xml:space="preserve">technique is often used to acquire consensus within a heterogeneous panel of experts. The Delphi process consists of a number of iterations, often started with a questionnaire, in which the panelists discuss and rate a number of items related to the subject. The goal is to make converge the different opinions. Within the current research, the panel exists of port authorities, rail freight companies, government representatives, academic contributors and private intermodal transport users. This variety in experts is crucial and renders the sample valid for further analysis. However, in this paper, the exercise starts with an extensive review of the existing literature, where both scientific publications, government studies and sector reports are taken into consideration. </w:t>
      </w:r>
      <w:proofErr w:type="spellStart"/>
      <w:r w:rsidR="00B60466" w:rsidRPr="00723135">
        <w:rPr>
          <w:bCs/>
          <w:lang w:val="en-US"/>
        </w:rPr>
        <w:t>Kerlinger</w:t>
      </w:r>
      <w:proofErr w:type="spellEnd"/>
      <w:r w:rsidR="00B60466" w:rsidRPr="00723135">
        <w:rPr>
          <w:bCs/>
          <w:lang w:val="en-US"/>
        </w:rPr>
        <w:t xml:space="preserve"> (1973)</w:t>
      </w:r>
      <w:r w:rsidRPr="00723135">
        <w:rPr>
          <w:bCs/>
          <w:lang w:val="en-US"/>
        </w:rPr>
        <w:t xml:space="preserve"> validates the use of such a modified Delphi process, as information on the concerned issue is already a</w:t>
      </w:r>
      <w:r w:rsidR="00B60466" w:rsidRPr="00723135">
        <w:rPr>
          <w:bCs/>
          <w:lang w:val="en-US"/>
        </w:rPr>
        <w:t>vailable and usable. Moreover, Hasson et al. (2000)</w:t>
      </w:r>
      <w:r w:rsidRPr="00723135">
        <w:rPr>
          <w:bCs/>
          <w:lang w:val="en-US"/>
        </w:rPr>
        <w:t xml:space="preserve"> desc</w:t>
      </w:r>
      <w:r w:rsidR="00C54B84">
        <w:rPr>
          <w:bCs/>
          <w:lang w:val="en-US"/>
        </w:rPr>
        <w:t xml:space="preserve">ribes a variation on the Delphi </w:t>
      </w:r>
      <w:r w:rsidRPr="00723135">
        <w:rPr>
          <w:bCs/>
          <w:lang w:val="en-US"/>
        </w:rPr>
        <w:t>technique process, using important qualitative data retrieved from interviews. As such, a preliminarily list of possible internal and external characteristics of intermodal rail transportation is created during a first round of consultation. These first results are taken as an input for the second round, consisting of individual interviews with different specialists and author</w:t>
      </w:r>
      <w:r w:rsidR="00C54B84">
        <w:rPr>
          <w:bCs/>
          <w:lang w:val="en-US"/>
        </w:rPr>
        <w:t>ities, being part of the panel.</w:t>
      </w:r>
      <w:r w:rsidRPr="00723135">
        <w:rPr>
          <w:bCs/>
          <w:lang w:val="en-US"/>
        </w:rPr>
        <w:t xml:space="preserve"> A third round consists of </w:t>
      </w:r>
      <w:r w:rsidR="00C54B84">
        <w:rPr>
          <w:bCs/>
          <w:lang w:val="en-US"/>
        </w:rPr>
        <w:t>a</w:t>
      </w:r>
      <w:r w:rsidRPr="00723135">
        <w:rPr>
          <w:bCs/>
          <w:lang w:val="en-US"/>
        </w:rPr>
        <w:t xml:space="preserve"> traditional round-table discussion with the full panel of experts, discussing and validating the previous results. Ultimately, a final version of the survey contains all identified internal characteristics and possible external trends of intermodal rail freight. The survey obtains the quantification of the impact and likelihood of the different SWOT elements, as validated by the panel at the end of the previous round. In this way, the importance of each element, as well as the level of uncertainty, can be obtained. The output of the survey is a priority ranking,</w:t>
      </w:r>
      <w:r w:rsidR="00895E74">
        <w:rPr>
          <w:bCs/>
          <w:lang w:val="en-US"/>
        </w:rPr>
        <w:t xml:space="preserve"> resulting in a selection of elements to focus on,</w:t>
      </w:r>
      <w:r w:rsidRPr="00723135">
        <w:rPr>
          <w:bCs/>
          <w:lang w:val="en-US"/>
        </w:rPr>
        <w:t xml:space="preserve"> which will help as an input to build plausible scenarios for further analysis.</w:t>
      </w:r>
    </w:p>
    <w:p w:rsidR="007758D5" w:rsidRPr="00723135" w:rsidRDefault="007758D5" w:rsidP="007758D5">
      <w:pPr>
        <w:ind w:left="284"/>
        <w:jc w:val="both"/>
        <w:rPr>
          <w:b/>
          <w:bCs/>
          <w:lang w:val="en-US"/>
        </w:rPr>
      </w:pPr>
    </w:p>
    <w:p w:rsidR="007758D5" w:rsidRPr="00723135" w:rsidRDefault="007758D5" w:rsidP="007758D5">
      <w:pPr>
        <w:numPr>
          <w:ilvl w:val="1"/>
          <w:numId w:val="1"/>
        </w:numPr>
        <w:ind w:left="284" w:firstLine="0"/>
        <w:jc w:val="both"/>
        <w:rPr>
          <w:b/>
          <w:bCs/>
          <w:lang w:val="en-US"/>
        </w:rPr>
      </w:pPr>
      <w:r w:rsidRPr="00723135">
        <w:rPr>
          <w:b/>
          <w:bCs/>
          <w:lang w:val="en-US"/>
        </w:rPr>
        <w:t>Survey methodology</w:t>
      </w:r>
    </w:p>
    <w:p w:rsidR="007758D5" w:rsidRDefault="007758D5" w:rsidP="00DF6DD8">
      <w:pPr>
        <w:jc w:val="both"/>
        <w:rPr>
          <w:bCs/>
          <w:lang w:val="en-US"/>
        </w:rPr>
      </w:pPr>
      <w:r w:rsidRPr="00723135">
        <w:rPr>
          <w:bCs/>
          <w:lang w:val="en-US"/>
        </w:rPr>
        <w:t>The survey methodology is a 3-step approach. First</w:t>
      </w:r>
      <w:r w:rsidR="00C54B84">
        <w:rPr>
          <w:bCs/>
          <w:lang w:val="en-US"/>
        </w:rPr>
        <w:t>,</w:t>
      </w:r>
      <w:r w:rsidRPr="00723135">
        <w:rPr>
          <w:bCs/>
          <w:lang w:val="en-US"/>
        </w:rPr>
        <w:t xml:space="preserve"> a Likert scale needs to be decided. Secondly, frequency tables are calculated. This allows </w:t>
      </w:r>
      <w:r w:rsidR="00C54B84">
        <w:rPr>
          <w:bCs/>
          <w:lang w:val="en-US"/>
        </w:rPr>
        <w:t>determining</w:t>
      </w:r>
      <w:r w:rsidRPr="00723135">
        <w:rPr>
          <w:bCs/>
          <w:lang w:val="en-US"/>
        </w:rPr>
        <w:t xml:space="preserve"> two common indicators for the analysis of ordinal data, namely the modus and the </w:t>
      </w:r>
      <w:r w:rsidR="00892862" w:rsidRPr="00723135">
        <w:rPr>
          <w:bCs/>
          <w:lang w:val="en-US"/>
        </w:rPr>
        <w:t>H-</w:t>
      </w:r>
      <w:r w:rsidRPr="00723135">
        <w:rPr>
          <w:bCs/>
          <w:lang w:val="en-US"/>
        </w:rPr>
        <w:t>index</w:t>
      </w:r>
      <w:r w:rsidR="00892862" w:rsidRPr="00723135">
        <w:rPr>
          <w:bCs/>
          <w:lang w:val="en-US"/>
        </w:rPr>
        <w:t>, indicating the consistency in the respondents’ answers</w:t>
      </w:r>
      <w:r w:rsidRPr="00723135">
        <w:rPr>
          <w:bCs/>
          <w:lang w:val="en-US"/>
        </w:rPr>
        <w:t>. Thirdly, a priority ranking is obtained by sorting the elements based on the results of these two indicators.</w:t>
      </w:r>
      <w:r w:rsidR="00892862" w:rsidRPr="00723135">
        <w:rPr>
          <w:bCs/>
          <w:lang w:val="en-US"/>
        </w:rPr>
        <w:t xml:space="preserve"> Focus is </w:t>
      </w:r>
      <w:r w:rsidR="00895E74">
        <w:rPr>
          <w:bCs/>
          <w:lang w:val="en-US"/>
        </w:rPr>
        <w:t>put on</w:t>
      </w:r>
      <w:r w:rsidR="00892862" w:rsidRPr="00723135">
        <w:rPr>
          <w:bCs/>
          <w:lang w:val="en-US"/>
        </w:rPr>
        <w:t xml:space="preserve"> the elements with the biggest impact </w:t>
      </w:r>
      <w:r w:rsidR="00895E74">
        <w:rPr>
          <w:bCs/>
          <w:lang w:val="en-US"/>
        </w:rPr>
        <w:t>or</w:t>
      </w:r>
      <w:r w:rsidR="00892862" w:rsidRPr="00723135">
        <w:rPr>
          <w:bCs/>
          <w:lang w:val="en-US"/>
        </w:rPr>
        <w:t xml:space="preserve"> influence, and the highest likelihood of happening</w:t>
      </w:r>
      <w:r w:rsidR="00895E74">
        <w:rPr>
          <w:bCs/>
          <w:lang w:val="en-US"/>
        </w:rPr>
        <w:t xml:space="preserve"> or lowest level of uncertainty</w:t>
      </w:r>
      <w:r w:rsidR="00892862" w:rsidRPr="00723135">
        <w:rPr>
          <w:bCs/>
          <w:lang w:val="en-US"/>
        </w:rPr>
        <w:t xml:space="preserve">. </w:t>
      </w:r>
      <w:r w:rsidR="007A743C" w:rsidRPr="00723135">
        <w:rPr>
          <w:bCs/>
          <w:lang w:val="en-US"/>
        </w:rPr>
        <w:t xml:space="preserve"> </w:t>
      </w:r>
      <w:r w:rsidR="007A743C" w:rsidRPr="00723135">
        <w:rPr>
          <w:lang w:val="en-US"/>
        </w:rPr>
        <w:t>In total</w:t>
      </w:r>
      <w:r w:rsidR="00C54B84">
        <w:rPr>
          <w:lang w:val="en-US"/>
        </w:rPr>
        <w:t>,</w:t>
      </w:r>
      <w:r w:rsidR="007A743C" w:rsidRPr="00723135">
        <w:rPr>
          <w:lang w:val="en-US"/>
        </w:rPr>
        <w:t xml:space="preserve"> 14 </w:t>
      </w:r>
      <w:r w:rsidR="007A743C" w:rsidRPr="00723135">
        <w:rPr>
          <w:lang w:val="en-US"/>
        </w:rPr>
        <w:lastRenderedPageBreak/>
        <w:t>respondents have partic</w:t>
      </w:r>
      <w:r w:rsidR="00C54B84">
        <w:rPr>
          <w:lang w:val="en-US"/>
        </w:rPr>
        <w:t>ipated to the survey, of which three port authorities, two rail freight operators, two government representatives, three</w:t>
      </w:r>
      <w:r w:rsidR="007A743C" w:rsidRPr="00723135">
        <w:rPr>
          <w:lang w:val="en-US"/>
        </w:rPr>
        <w:t xml:space="preserve"> consult</w:t>
      </w:r>
      <w:r w:rsidR="00C54B84">
        <w:rPr>
          <w:lang w:val="en-US"/>
        </w:rPr>
        <w:t>ancy/academic contributors and four</w:t>
      </w:r>
      <w:r w:rsidR="007A743C" w:rsidRPr="00723135">
        <w:rPr>
          <w:lang w:val="en-US"/>
        </w:rPr>
        <w:t xml:space="preserve"> private intermodal transport users.</w:t>
      </w:r>
    </w:p>
    <w:p w:rsidR="0042299B" w:rsidRPr="00723135" w:rsidRDefault="0042299B" w:rsidP="007758D5">
      <w:pPr>
        <w:ind w:left="284"/>
        <w:jc w:val="both"/>
        <w:rPr>
          <w:bCs/>
          <w:lang w:val="en-US"/>
        </w:rPr>
      </w:pPr>
    </w:p>
    <w:p w:rsidR="00B60466" w:rsidRPr="00723135" w:rsidRDefault="00C54B84" w:rsidP="00B60466">
      <w:pPr>
        <w:numPr>
          <w:ilvl w:val="2"/>
          <w:numId w:val="1"/>
        </w:numPr>
        <w:tabs>
          <w:tab w:val="clear" w:pos="1440"/>
          <w:tab w:val="num" w:pos="1260"/>
        </w:tabs>
        <w:ind w:left="1072" w:hanging="505"/>
        <w:jc w:val="both"/>
        <w:rPr>
          <w:lang w:val="en-US"/>
        </w:rPr>
      </w:pPr>
      <w:r>
        <w:rPr>
          <w:lang w:val="en-US"/>
        </w:rPr>
        <w:t xml:space="preserve">Likert </w:t>
      </w:r>
      <w:r w:rsidR="00B60466" w:rsidRPr="00723135">
        <w:rPr>
          <w:lang w:val="en-US"/>
        </w:rPr>
        <w:t>scale</w:t>
      </w:r>
    </w:p>
    <w:p w:rsidR="007758D5" w:rsidRPr="00723135" w:rsidRDefault="007758D5" w:rsidP="00B60466">
      <w:pPr>
        <w:jc w:val="both"/>
        <w:rPr>
          <w:bCs/>
          <w:lang w:val="en-US"/>
        </w:rPr>
      </w:pPr>
      <w:r w:rsidRPr="00723135">
        <w:rPr>
          <w:bCs/>
          <w:lang w:val="en-US"/>
        </w:rPr>
        <w:t>Each identified and approved SWOT element is to be rated by the e</w:t>
      </w:r>
      <w:r w:rsidR="00C54B84">
        <w:rPr>
          <w:bCs/>
          <w:lang w:val="en-US"/>
        </w:rPr>
        <w:t xml:space="preserve">xperts of the panel on a Likert </w:t>
      </w:r>
      <w:r w:rsidRPr="00723135">
        <w:rPr>
          <w:bCs/>
          <w:lang w:val="en-US"/>
        </w:rPr>
        <w:t>scale ranging from 1 to 5. For further analysi</w:t>
      </w:r>
      <w:r w:rsidR="00C54B84">
        <w:rPr>
          <w:bCs/>
          <w:lang w:val="en-US"/>
        </w:rPr>
        <w:t xml:space="preserve">s, the responses on this Likert </w:t>
      </w:r>
      <w:r w:rsidRPr="00723135">
        <w:rPr>
          <w:bCs/>
          <w:lang w:val="en-US"/>
        </w:rPr>
        <w:t>scale have been simplified by clustering category 1 and 2 into a negative factor (-), category 3 into a neutral factor (o) and category 4 and 5 into a positive factor (+). This allow</w:t>
      </w:r>
      <w:r w:rsidR="00C54B84">
        <w:rPr>
          <w:bCs/>
          <w:lang w:val="en-US"/>
        </w:rPr>
        <w:t>s for</w:t>
      </w:r>
      <w:r w:rsidRPr="00723135">
        <w:rPr>
          <w:bCs/>
          <w:lang w:val="en-US"/>
        </w:rPr>
        <w:t xml:space="preserve"> a better interpretation of the results. Details of the survey scale an</w:t>
      </w:r>
      <w:r w:rsidR="00B60466" w:rsidRPr="00723135">
        <w:rPr>
          <w:bCs/>
          <w:lang w:val="en-US"/>
        </w:rPr>
        <w:t xml:space="preserve">d clustering are </w:t>
      </w:r>
      <w:r w:rsidR="00C54B84">
        <w:rPr>
          <w:bCs/>
          <w:lang w:val="en-US"/>
        </w:rPr>
        <w:t>illustrated</w:t>
      </w:r>
      <w:r w:rsidR="00B60466" w:rsidRPr="00723135">
        <w:rPr>
          <w:bCs/>
          <w:lang w:val="en-US"/>
        </w:rPr>
        <w:t xml:space="preserve"> in </w:t>
      </w:r>
      <w:r w:rsidR="00B60466" w:rsidRPr="00723135">
        <w:rPr>
          <w:bCs/>
          <w:lang w:val="en-US"/>
        </w:rPr>
        <w:fldChar w:fldCharType="begin"/>
      </w:r>
      <w:r w:rsidR="00B60466" w:rsidRPr="00723135">
        <w:rPr>
          <w:bCs/>
          <w:lang w:val="en-US"/>
        </w:rPr>
        <w:instrText xml:space="preserve"> REF _Ref416428554 \h </w:instrText>
      </w:r>
      <w:r w:rsidR="00B60466" w:rsidRPr="00723135">
        <w:rPr>
          <w:bCs/>
          <w:lang w:val="en-US"/>
        </w:rPr>
      </w:r>
      <w:r w:rsidR="00B60466" w:rsidRPr="00723135">
        <w:rPr>
          <w:bCs/>
          <w:lang w:val="en-US"/>
        </w:rPr>
        <w:fldChar w:fldCharType="separate"/>
      </w:r>
      <w:r w:rsidR="00FB494B" w:rsidRPr="00723135">
        <w:rPr>
          <w:lang w:val="en-US"/>
        </w:rPr>
        <w:t xml:space="preserve">Figure </w:t>
      </w:r>
      <w:r w:rsidR="00FB494B">
        <w:rPr>
          <w:noProof/>
          <w:lang w:val="en-US"/>
        </w:rPr>
        <w:t>1</w:t>
      </w:r>
      <w:r w:rsidR="00B60466" w:rsidRPr="00723135">
        <w:rPr>
          <w:bCs/>
          <w:lang w:val="en-US"/>
        </w:rPr>
        <w:fldChar w:fldCharType="end"/>
      </w:r>
      <w:r w:rsidRPr="00723135">
        <w:rPr>
          <w:bCs/>
          <w:lang w:val="en-US"/>
        </w:rPr>
        <w:t>.</w:t>
      </w:r>
    </w:p>
    <w:p w:rsidR="007758D5" w:rsidRPr="00723135" w:rsidRDefault="007758D5" w:rsidP="007758D5">
      <w:pPr>
        <w:ind w:left="284"/>
        <w:jc w:val="both"/>
        <w:rPr>
          <w:bCs/>
          <w:lang w:val="en-US"/>
        </w:rPr>
      </w:pPr>
    </w:p>
    <w:p w:rsidR="00B60466" w:rsidRPr="00723135" w:rsidRDefault="00B60466" w:rsidP="00B60466">
      <w:pPr>
        <w:pStyle w:val="Caption"/>
        <w:keepNext/>
        <w:jc w:val="center"/>
        <w:rPr>
          <w:lang w:val="en-US"/>
        </w:rPr>
      </w:pPr>
      <w:bookmarkStart w:id="2" w:name="_Ref416428554"/>
      <w:bookmarkStart w:id="3" w:name="_Ref416428541"/>
      <w:r w:rsidRPr="00723135">
        <w:rPr>
          <w:lang w:val="en-US"/>
        </w:rPr>
        <w:t xml:space="preserve">Figure </w:t>
      </w:r>
      <w:r w:rsidR="00B64F99" w:rsidRPr="00723135">
        <w:rPr>
          <w:lang w:val="en-US"/>
        </w:rPr>
        <w:fldChar w:fldCharType="begin"/>
      </w:r>
      <w:r w:rsidR="00B64F99" w:rsidRPr="00723135">
        <w:rPr>
          <w:lang w:val="en-US"/>
        </w:rPr>
        <w:instrText xml:space="preserve"> SEQ Figure \* ARABIC </w:instrText>
      </w:r>
      <w:r w:rsidR="00B64F99" w:rsidRPr="00723135">
        <w:rPr>
          <w:lang w:val="en-US"/>
        </w:rPr>
        <w:fldChar w:fldCharType="separate"/>
      </w:r>
      <w:r w:rsidR="00FB494B">
        <w:rPr>
          <w:noProof/>
          <w:lang w:val="en-US"/>
        </w:rPr>
        <w:t>1</w:t>
      </w:r>
      <w:r w:rsidR="00B64F99" w:rsidRPr="00723135">
        <w:rPr>
          <w:lang w:val="en-US"/>
        </w:rPr>
        <w:fldChar w:fldCharType="end"/>
      </w:r>
      <w:bookmarkEnd w:id="2"/>
      <w:r w:rsidR="00C54B84">
        <w:rPr>
          <w:lang w:val="en-US"/>
        </w:rPr>
        <w:t xml:space="preserve">: Used Likert </w:t>
      </w:r>
      <w:r w:rsidRPr="00723135">
        <w:rPr>
          <w:lang w:val="en-US"/>
        </w:rPr>
        <w:t>scale for the BRAIN-TRAINS survey analysis</w:t>
      </w:r>
      <w:bookmarkEnd w:id="3"/>
    </w:p>
    <w:p w:rsidR="00B60466" w:rsidRPr="00723135" w:rsidRDefault="00C54B84" w:rsidP="00B60466">
      <w:pPr>
        <w:ind w:left="284"/>
        <w:jc w:val="center"/>
        <w:rPr>
          <w:bCs/>
          <w:lang w:val="en-US"/>
        </w:rPr>
      </w:pPr>
      <w:r>
        <w:rPr>
          <w:bCs/>
          <w:noProof/>
          <w:lang w:val="en-GB" w:eastAsia="en-GB"/>
        </w:rPr>
        <w:drawing>
          <wp:inline distT="0" distB="0" distL="0" distR="0">
            <wp:extent cx="3140521" cy="1050078"/>
            <wp:effectExtent l="0" t="0" r="3175" b="0"/>
            <wp:docPr id="4" name="Picture 4" descr="C:\Users\FTroch\Desktop\BIVEC\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roch\Desktop\BIVEC\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6419" cy="1058737"/>
                    </a:xfrm>
                    <a:prstGeom prst="rect">
                      <a:avLst/>
                    </a:prstGeom>
                    <a:noFill/>
                    <a:ln>
                      <a:noFill/>
                    </a:ln>
                  </pic:spPr>
                </pic:pic>
              </a:graphicData>
            </a:graphic>
          </wp:inline>
        </w:drawing>
      </w:r>
    </w:p>
    <w:p w:rsidR="00B60466" w:rsidRPr="00723135" w:rsidRDefault="00B60466" w:rsidP="00B60466">
      <w:pPr>
        <w:ind w:left="284"/>
        <w:jc w:val="center"/>
        <w:rPr>
          <w:bCs/>
          <w:sz w:val="20"/>
          <w:szCs w:val="20"/>
          <w:lang w:val="en-US"/>
        </w:rPr>
      </w:pPr>
      <w:r w:rsidRPr="00723135">
        <w:rPr>
          <w:bCs/>
          <w:sz w:val="20"/>
          <w:szCs w:val="20"/>
          <w:lang w:val="en-US"/>
        </w:rPr>
        <w:t>Source: Own composition</w:t>
      </w:r>
    </w:p>
    <w:p w:rsidR="00B60466" w:rsidRPr="00723135" w:rsidRDefault="00B60466" w:rsidP="007758D5">
      <w:pPr>
        <w:ind w:left="284"/>
        <w:jc w:val="both"/>
        <w:rPr>
          <w:bCs/>
          <w:lang w:val="en-US"/>
        </w:rPr>
      </w:pPr>
    </w:p>
    <w:p w:rsidR="00B60466" w:rsidRPr="00723135" w:rsidRDefault="00B60466" w:rsidP="00B60466">
      <w:pPr>
        <w:numPr>
          <w:ilvl w:val="2"/>
          <w:numId w:val="1"/>
        </w:numPr>
        <w:tabs>
          <w:tab w:val="clear" w:pos="1440"/>
          <w:tab w:val="num" w:pos="1260"/>
        </w:tabs>
        <w:ind w:left="1072" w:hanging="505"/>
        <w:jc w:val="both"/>
        <w:rPr>
          <w:lang w:val="en-US"/>
        </w:rPr>
      </w:pPr>
      <w:r w:rsidRPr="00723135">
        <w:rPr>
          <w:lang w:val="en-US"/>
        </w:rPr>
        <w:t>Frequency tables, modus and H-index</w:t>
      </w:r>
    </w:p>
    <w:p w:rsidR="007758D5" w:rsidRPr="00723135" w:rsidRDefault="007758D5" w:rsidP="00B60466">
      <w:pPr>
        <w:jc w:val="both"/>
        <w:rPr>
          <w:bCs/>
          <w:lang w:val="en-US"/>
        </w:rPr>
      </w:pPr>
      <w:r w:rsidRPr="00723135">
        <w:rPr>
          <w:bCs/>
          <w:lang w:val="en-US"/>
        </w:rPr>
        <w:t>As the data colle</w:t>
      </w:r>
      <w:r w:rsidR="00C54B84">
        <w:rPr>
          <w:bCs/>
          <w:lang w:val="en-US"/>
        </w:rPr>
        <w:t xml:space="preserve">cted from the survey are Likert </w:t>
      </w:r>
      <w:r w:rsidRPr="00723135">
        <w:rPr>
          <w:bCs/>
          <w:lang w:val="en-US"/>
        </w:rPr>
        <w:t xml:space="preserve">scale based (ordinal data), the most common statistical approach is the use of frequency tables, the modus and the H-index. The latter defines the homogeneity of the different answers, which indicates the level of agreement of the respondents. In this way, the results can be compared on their consistency. The same methodology </w:t>
      </w:r>
      <w:r w:rsidR="00C54B84">
        <w:rPr>
          <w:bCs/>
          <w:lang w:val="en-US"/>
        </w:rPr>
        <w:t>was</w:t>
      </w:r>
      <w:r w:rsidRPr="00723135">
        <w:rPr>
          <w:bCs/>
          <w:lang w:val="en-US"/>
        </w:rPr>
        <w:t xml:space="preserve"> used by </w:t>
      </w:r>
      <w:proofErr w:type="spellStart"/>
      <w:r w:rsidR="00B60466" w:rsidRPr="00723135">
        <w:rPr>
          <w:bCs/>
          <w:lang w:val="en-US"/>
        </w:rPr>
        <w:t>Acciaro</w:t>
      </w:r>
      <w:proofErr w:type="spellEnd"/>
      <w:r w:rsidR="00B60466" w:rsidRPr="00723135">
        <w:rPr>
          <w:bCs/>
          <w:lang w:val="en-US"/>
        </w:rPr>
        <w:t xml:space="preserve"> et al. (2013) and Vanelslander and Sys (2014)</w:t>
      </w:r>
      <w:r w:rsidRPr="00723135">
        <w:rPr>
          <w:bCs/>
          <w:lang w:val="en-US"/>
        </w:rPr>
        <w:t xml:space="preserve"> to evaluate a set of actions to increase port competitiveness. </w:t>
      </w:r>
    </w:p>
    <w:p w:rsidR="007758D5" w:rsidRPr="00723135" w:rsidRDefault="007758D5" w:rsidP="007758D5">
      <w:pPr>
        <w:ind w:left="284"/>
        <w:jc w:val="both"/>
        <w:rPr>
          <w:bCs/>
          <w:lang w:val="en-US"/>
        </w:rPr>
      </w:pPr>
    </w:p>
    <w:p w:rsidR="007758D5" w:rsidRPr="00723135" w:rsidRDefault="007758D5" w:rsidP="00B60466">
      <w:pPr>
        <w:numPr>
          <w:ilvl w:val="0"/>
          <w:numId w:val="5"/>
        </w:numPr>
        <w:ind w:left="426"/>
        <w:jc w:val="both"/>
        <w:rPr>
          <w:bCs/>
          <w:lang w:val="en-US"/>
        </w:rPr>
      </w:pPr>
      <w:r w:rsidRPr="00723135">
        <w:rPr>
          <w:b/>
          <w:bCs/>
          <w:lang w:val="en-US"/>
        </w:rPr>
        <w:t>Frequency tables</w:t>
      </w:r>
      <w:r w:rsidRPr="00723135">
        <w:rPr>
          <w:bCs/>
          <w:lang w:val="en-US"/>
        </w:rPr>
        <w:t xml:space="preserve"> indicate the percentage of answers for each score on a specific element. From these tables, the scores that have been selected most, can be identified. Equally, it does provide a first insight on the spread over the different scoring possibilities, indicating the level of agreement.</w:t>
      </w:r>
    </w:p>
    <w:p w:rsidR="007758D5" w:rsidRPr="00723135" w:rsidRDefault="007758D5" w:rsidP="00B60466">
      <w:pPr>
        <w:numPr>
          <w:ilvl w:val="0"/>
          <w:numId w:val="5"/>
        </w:numPr>
        <w:ind w:left="426"/>
        <w:jc w:val="both"/>
        <w:rPr>
          <w:bCs/>
          <w:lang w:val="en-US"/>
        </w:rPr>
      </w:pPr>
      <w:r w:rsidRPr="00723135">
        <w:rPr>
          <w:b/>
          <w:bCs/>
          <w:lang w:val="en-US"/>
        </w:rPr>
        <w:t>The modus</w:t>
      </w:r>
      <w:r w:rsidRPr="00723135">
        <w:rPr>
          <w:bCs/>
          <w:lang w:val="en-US"/>
        </w:rPr>
        <w:t xml:space="preserve"> is the score with the highest frequency, i.e. most of the respondents provided this answer to the question. In case different scoring options receive the same amount of responses, an adjusted average modus is stated.</w:t>
      </w:r>
    </w:p>
    <w:p w:rsidR="007758D5" w:rsidRPr="00723135" w:rsidRDefault="007758D5" w:rsidP="00B60466">
      <w:pPr>
        <w:numPr>
          <w:ilvl w:val="0"/>
          <w:numId w:val="5"/>
        </w:numPr>
        <w:ind w:left="426"/>
        <w:jc w:val="both"/>
        <w:rPr>
          <w:bCs/>
          <w:lang w:val="en-US"/>
        </w:rPr>
      </w:pPr>
      <w:r w:rsidRPr="00723135">
        <w:rPr>
          <w:b/>
          <w:bCs/>
          <w:lang w:val="en-US"/>
        </w:rPr>
        <w:t>The H-index</w:t>
      </w:r>
      <w:r w:rsidRPr="00723135">
        <w:rPr>
          <w:bCs/>
          <w:lang w:val="en-US"/>
        </w:rPr>
        <w:t xml:space="preserve"> is a relative homogeneity index and is calculated as the standardized value of the square sum of the percentage frequencies of the ranking. The </w:t>
      </w:r>
      <w:r w:rsidR="00716DCA" w:rsidRPr="00723135">
        <w:rPr>
          <w:b/>
          <w:bCs/>
          <w:lang w:val="en-US"/>
        </w:rPr>
        <w:t>absolute</w:t>
      </w:r>
      <w:r w:rsidR="00716DCA" w:rsidRPr="00723135">
        <w:rPr>
          <w:bCs/>
          <w:lang w:val="en-US"/>
        </w:rPr>
        <w:t xml:space="preserve"> </w:t>
      </w:r>
      <w:r w:rsidRPr="00723135">
        <w:rPr>
          <w:bCs/>
          <w:lang w:val="en-US"/>
        </w:rPr>
        <w:t xml:space="preserve">homogeneity index </w:t>
      </w:r>
      <w:r w:rsidR="00B60466" w:rsidRPr="00723135">
        <w:rPr>
          <w:bCs/>
          <w:lang w:val="en-US"/>
        </w:rPr>
        <w:t>h</w:t>
      </w:r>
      <w:r w:rsidR="00B60466" w:rsidRPr="00723135">
        <w:rPr>
          <w:bCs/>
          <w:vertAlign w:val="subscript"/>
          <w:lang w:val="en-US"/>
        </w:rPr>
        <w:t>i</w:t>
      </w:r>
      <w:r w:rsidRPr="00723135">
        <w:rPr>
          <w:bCs/>
          <w:lang w:val="en-US"/>
        </w:rPr>
        <w:t xml:space="preserve"> is calculated fo</w:t>
      </w:r>
      <w:r w:rsidR="00B60466" w:rsidRPr="00723135">
        <w:rPr>
          <w:bCs/>
          <w:lang w:val="en-US"/>
        </w:rPr>
        <w:t>r each SWOT element as follows (</w:t>
      </w:r>
      <w:proofErr w:type="spellStart"/>
      <w:r w:rsidR="00B60466" w:rsidRPr="00723135">
        <w:rPr>
          <w:bCs/>
          <w:lang w:val="en-US"/>
        </w:rPr>
        <w:t>Acciaro</w:t>
      </w:r>
      <w:proofErr w:type="spellEnd"/>
      <w:r w:rsidR="00B60466" w:rsidRPr="00723135">
        <w:rPr>
          <w:bCs/>
          <w:lang w:val="en-US"/>
        </w:rPr>
        <w:t xml:space="preserve"> et al., 2013)</w:t>
      </w:r>
    </w:p>
    <w:p w:rsidR="00B60466" w:rsidRPr="00723135" w:rsidRDefault="00B60466" w:rsidP="00B60466">
      <w:pPr>
        <w:ind w:left="426"/>
        <w:jc w:val="both"/>
        <w:rPr>
          <w:bCs/>
          <w:lang w:val="en-US"/>
        </w:rPr>
      </w:pPr>
    </w:p>
    <w:p w:rsidR="00B60466" w:rsidRPr="004F5DBD" w:rsidRDefault="00285AFB" w:rsidP="00B60466">
      <w:pPr>
        <w:jc w:val="center"/>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i</m:t>
              </m:r>
            </m:sub>
          </m:sSub>
          <m:r>
            <w:rPr>
              <w:rFonts w:ascii="Cambria Math" w:hAnsi="Cambria Math"/>
              <w:sz w:val="20"/>
              <w:szCs w:val="20"/>
              <w:lang w:val="en-US"/>
            </w:rPr>
            <m:t>=</m:t>
          </m:r>
          <m:r>
            <m:rPr>
              <m:sty m:val="p"/>
            </m:rPr>
            <w:rPr>
              <w:rFonts w:ascii="Cambria Math" w:hAnsi="Cambria Math"/>
              <w:sz w:val="20"/>
              <w:szCs w:val="20"/>
              <w:lang w:val="en-US"/>
            </w:rPr>
            <m:t xml:space="preserve"> </m:t>
          </m:r>
          <m:nary>
            <m:naryPr>
              <m:chr m:val="∑"/>
              <m:limLoc m:val="subSup"/>
              <m:supHide m:val="1"/>
              <m:ctrlPr>
                <w:rPr>
                  <w:rFonts w:ascii="Cambria Math" w:hAnsi="Cambria Math"/>
                  <w:sz w:val="20"/>
                  <w:szCs w:val="20"/>
                  <w:lang w:val="en-US"/>
                </w:rPr>
              </m:ctrlPr>
            </m:naryPr>
            <m:sub>
              <m:r>
                <w:rPr>
                  <w:rFonts w:ascii="Cambria Math" w:hAnsi="Cambria Math"/>
                  <w:sz w:val="20"/>
                  <w:szCs w:val="20"/>
                  <w:lang w:val="en-US"/>
                </w:rPr>
                <m:t>j</m:t>
              </m:r>
            </m:sub>
            <m:sup/>
            <m:e>
              <m:sSubSup>
                <m:sSubSupPr>
                  <m:ctrlPr>
                    <w:rPr>
                      <w:rFonts w:ascii="Cambria Math" w:hAnsi="Cambria Math"/>
                      <w:i/>
                      <w:sz w:val="20"/>
                      <w:szCs w:val="20"/>
                      <w:lang w:val="en-US"/>
                    </w:rPr>
                  </m:ctrlPr>
                </m:sSubSupPr>
                <m:e>
                  <m:r>
                    <w:rPr>
                      <w:rFonts w:ascii="Cambria Math" w:hAnsi="Cambria Math"/>
                      <w:sz w:val="20"/>
                      <w:szCs w:val="20"/>
                      <w:lang w:val="en-US"/>
                    </w:rPr>
                    <m:t>f</m:t>
                  </m:r>
                </m:e>
                <m:sub>
                  <m:r>
                    <w:rPr>
                      <w:rFonts w:ascii="Cambria Math" w:hAnsi="Cambria Math"/>
                      <w:sz w:val="20"/>
                      <w:szCs w:val="20"/>
                      <w:lang w:val="en-US"/>
                    </w:rPr>
                    <m:t>ij</m:t>
                  </m:r>
                </m:sub>
                <m:sup>
                  <m:r>
                    <w:rPr>
                      <w:rFonts w:ascii="Cambria Math" w:hAnsi="Cambria Math"/>
                      <w:sz w:val="20"/>
                      <w:szCs w:val="20"/>
                      <w:lang w:val="en-US"/>
                    </w:rPr>
                    <m:t>2</m:t>
                  </m:r>
                </m:sup>
              </m:sSubSup>
            </m:e>
          </m:nary>
        </m:oMath>
      </m:oMathPara>
    </w:p>
    <w:p w:rsidR="00B60466" w:rsidRPr="00723135" w:rsidRDefault="00B60466" w:rsidP="00B60466">
      <w:pPr>
        <w:jc w:val="center"/>
        <w:rPr>
          <w:lang w:val="en-US"/>
        </w:rPr>
      </w:pPr>
    </w:p>
    <w:p w:rsidR="007758D5" w:rsidRPr="00723135" w:rsidRDefault="00B60466" w:rsidP="00B60466">
      <w:pPr>
        <w:ind w:left="426"/>
        <w:jc w:val="both"/>
        <w:rPr>
          <w:bCs/>
          <w:lang w:val="en-US"/>
        </w:rPr>
      </w:pPr>
      <w:proofErr w:type="spellStart"/>
      <w:r w:rsidRPr="00723135">
        <w:rPr>
          <w:bCs/>
          <w:lang w:val="en-US"/>
        </w:rPr>
        <w:t>F</w:t>
      </w:r>
      <w:r w:rsidRPr="00723135">
        <w:rPr>
          <w:bCs/>
          <w:vertAlign w:val="subscript"/>
          <w:lang w:val="en-US"/>
        </w:rPr>
        <w:t>ij</w:t>
      </w:r>
      <w:proofErr w:type="spellEnd"/>
      <w:r w:rsidR="007758D5" w:rsidRPr="00723135">
        <w:rPr>
          <w:bCs/>
          <w:lang w:val="en-US"/>
        </w:rPr>
        <w:t xml:space="preserve"> is indicated as the percentage of respondents that ranked an element </w:t>
      </w:r>
      <w:proofErr w:type="spellStart"/>
      <w:r w:rsidR="007758D5" w:rsidRPr="00285AFB">
        <w:rPr>
          <w:bCs/>
          <w:i/>
          <w:lang w:val="en-US"/>
        </w:rPr>
        <w:t>i</w:t>
      </w:r>
      <w:proofErr w:type="spellEnd"/>
      <w:r w:rsidR="007758D5" w:rsidRPr="00285AFB">
        <w:rPr>
          <w:bCs/>
          <w:i/>
          <w:lang w:val="en-US"/>
        </w:rPr>
        <w:t xml:space="preserve"> </w:t>
      </w:r>
      <w:r w:rsidR="007758D5" w:rsidRPr="00723135">
        <w:rPr>
          <w:bCs/>
          <w:lang w:val="en-US"/>
        </w:rPr>
        <w:t xml:space="preserve">with value </w:t>
      </w:r>
      <w:r w:rsidR="007758D5" w:rsidRPr="00285AFB">
        <w:rPr>
          <w:bCs/>
          <w:i/>
          <w:lang w:val="en-US"/>
        </w:rPr>
        <w:t>j</w:t>
      </w:r>
      <w:r w:rsidR="007758D5" w:rsidRPr="00723135">
        <w:rPr>
          <w:bCs/>
          <w:lang w:val="en-US"/>
        </w:rPr>
        <w:t xml:space="preserve">, </w:t>
      </w:r>
      <w:proofErr w:type="gramStart"/>
      <w:r w:rsidR="00723135" w:rsidRPr="00723135">
        <w:rPr>
          <w:bCs/>
          <w:lang w:val="en-US"/>
        </w:rPr>
        <w:t>with</w:t>
      </w:r>
      <w:r w:rsidR="00723135">
        <w:rPr>
          <w:bCs/>
          <w:lang w:val="en-US"/>
        </w:rPr>
        <w:t xml:space="preserve"> </w:t>
      </w:r>
      <w:proofErr w:type="gramEnd"/>
      <m:oMath>
        <m:r>
          <w:rPr>
            <w:rFonts w:ascii="Cambria Math" w:hAnsi="Cambria Math"/>
            <w:lang w:val="en-US"/>
          </w:rPr>
          <m:t xml:space="preserve">j </m:t>
        </m:r>
        <m:r>
          <w:rPr>
            <w:rFonts w:ascii="Cambria Math" w:hAnsi="Cambria Math"/>
            <w:lang w:val="en-US"/>
          </w:rPr>
          <m:t>∈{1,2,3}</m:t>
        </m:r>
      </m:oMath>
      <w:r w:rsidR="007758D5" w:rsidRPr="00723135">
        <w:rPr>
          <w:bCs/>
          <w:lang w:val="en-US"/>
        </w:rPr>
        <w:t xml:space="preserve">. On a 3-point Likert scale, the H-index can be interpreted as follows. When </w:t>
      </w:r>
      <w:r w:rsidR="00716DCA" w:rsidRPr="00A2111B">
        <w:rPr>
          <w:bCs/>
          <w:i/>
          <w:lang w:val="en-US"/>
        </w:rPr>
        <w:t>h</w:t>
      </w:r>
      <w:r w:rsidR="00716DCA" w:rsidRPr="00A2111B">
        <w:rPr>
          <w:bCs/>
          <w:i/>
          <w:vertAlign w:val="subscript"/>
          <w:lang w:val="en-US"/>
        </w:rPr>
        <w:t>i</w:t>
      </w:r>
      <w:r w:rsidR="007758D5" w:rsidRPr="00723135">
        <w:rPr>
          <w:bCs/>
          <w:lang w:val="en-US"/>
        </w:rPr>
        <w:t xml:space="preserve"> equals 1, maximum homogeneity is reached, as all the elements are given the same score. When </w:t>
      </w:r>
      <w:r w:rsidR="00716DCA" w:rsidRPr="00A2111B">
        <w:rPr>
          <w:bCs/>
          <w:i/>
          <w:lang w:val="en-US"/>
        </w:rPr>
        <w:t>h</w:t>
      </w:r>
      <w:r w:rsidR="00716DCA" w:rsidRPr="00A2111B">
        <w:rPr>
          <w:bCs/>
          <w:i/>
          <w:vertAlign w:val="subscript"/>
          <w:lang w:val="en-US"/>
        </w:rPr>
        <w:t>i</w:t>
      </w:r>
      <w:r w:rsidR="00285AFB">
        <w:rPr>
          <w:bCs/>
          <w:lang w:val="en-US"/>
        </w:rPr>
        <w:t xml:space="preserve"> equals 0.</w:t>
      </w:r>
      <w:r w:rsidR="007758D5" w:rsidRPr="00723135">
        <w:rPr>
          <w:bCs/>
          <w:lang w:val="en-US"/>
        </w:rPr>
        <w:t xml:space="preserve">333, maximum heterogeneity is reached as all the elements are given a different score. </w:t>
      </w:r>
      <w:r w:rsidR="00D0356E" w:rsidRPr="00723135">
        <w:rPr>
          <w:bCs/>
          <w:lang w:val="en-US"/>
        </w:rPr>
        <w:t xml:space="preserve">This is </w:t>
      </w:r>
      <w:r w:rsidR="00C54B84">
        <w:rPr>
          <w:bCs/>
          <w:lang w:val="en-US"/>
        </w:rPr>
        <w:t>illustrated</w:t>
      </w:r>
      <w:r w:rsidR="00D0356E" w:rsidRPr="00723135">
        <w:rPr>
          <w:bCs/>
          <w:lang w:val="en-US"/>
        </w:rPr>
        <w:t xml:space="preserve"> in </w:t>
      </w:r>
      <w:r w:rsidR="00B64F99" w:rsidRPr="00723135">
        <w:rPr>
          <w:bCs/>
          <w:lang w:val="en-US"/>
        </w:rPr>
        <w:fldChar w:fldCharType="begin"/>
      </w:r>
      <w:r w:rsidR="00B64F99" w:rsidRPr="00723135">
        <w:rPr>
          <w:bCs/>
          <w:lang w:val="en-US"/>
        </w:rPr>
        <w:instrText xml:space="preserve"> REF _Ref416431281 \h </w:instrText>
      </w:r>
      <w:r w:rsidR="00B64F99" w:rsidRPr="00723135">
        <w:rPr>
          <w:bCs/>
          <w:lang w:val="en-US"/>
        </w:rPr>
      </w:r>
      <w:r w:rsidR="00B64F99" w:rsidRPr="00723135">
        <w:rPr>
          <w:bCs/>
          <w:lang w:val="en-US"/>
        </w:rPr>
        <w:fldChar w:fldCharType="separate"/>
      </w:r>
      <w:r w:rsidR="00FB494B" w:rsidRPr="00723135">
        <w:rPr>
          <w:lang w:val="en-US"/>
        </w:rPr>
        <w:t xml:space="preserve">Figure </w:t>
      </w:r>
      <w:r w:rsidR="00FB494B">
        <w:rPr>
          <w:noProof/>
          <w:lang w:val="en-US"/>
        </w:rPr>
        <w:t>2</w:t>
      </w:r>
      <w:r w:rsidR="00B64F99" w:rsidRPr="00723135">
        <w:rPr>
          <w:bCs/>
          <w:lang w:val="en-US"/>
        </w:rPr>
        <w:fldChar w:fldCharType="end"/>
      </w:r>
      <w:r w:rsidR="00D0356E" w:rsidRPr="00723135">
        <w:rPr>
          <w:bCs/>
          <w:lang w:val="en-US"/>
        </w:rPr>
        <w:t xml:space="preserve">. </w:t>
      </w:r>
      <w:r w:rsidR="007758D5" w:rsidRPr="00723135">
        <w:rPr>
          <w:bCs/>
          <w:lang w:val="en-US"/>
        </w:rPr>
        <w:t xml:space="preserve">In order to define the </w:t>
      </w:r>
      <w:r w:rsidR="00716DCA" w:rsidRPr="00723135">
        <w:rPr>
          <w:b/>
          <w:bCs/>
          <w:lang w:val="en-US"/>
        </w:rPr>
        <w:t>relative</w:t>
      </w:r>
      <w:r w:rsidR="007758D5" w:rsidRPr="00723135">
        <w:rPr>
          <w:bCs/>
          <w:lang w:val="en-US"/>
        </w:rPr>
        <w:t xml:space="preserve"> homogenei</w:t>
      </w:r>
      <w:r w:rsidR="00716DCA" w:rsidRPr="00723135">
        <w:rPr>
          <w:bCs/>
          <w:lang w:val="en-US"/>
        </w:rPr>
        <w:t xml:space="preserve">ty index </w:t>
      </w:r>
      <w:r w:rsidR="00716DCA" w:rsidRPr="00A2111B">
        <w:rPr>
          <w:bCs/>
          <w:i/>
          <w:lang w:val="en-US"/>
        </w:rPr>
        <w:t>H</w:t>
      </w:r>
      <w:r w:rsidR="00716DCA" w:rsidRPr="00A2111B">
        <w:rPr>
          <w:bCs/>
          <w:i/>
          <w:vertAlign w:val="subscript"/>
          <w:lang w:val="en-US"/>
        </w:rPr>
        <w:t>i</w:t>
      </w:r>
      <w:r w:rsidR="007758D5" w:rsidRPr="00723135">
        <w:rPr>
          <w:bCs/>
          <w:lang w:val="en-US"/>
        </w:rPr>
        <w:t xml:space="preserve">, the following formula can be applied </w:t>
      </w:r>
      <w:r w:rsidR="00716DCA" w:rsidRPr="00723135">
        <w:rPr>
          <w:bCs/>
          <w:lang w:val="en-US"/>
        </w:rPr>
        <w:t>(</w:t>
      </w:r>
      <w:proofErr w:type="spellStart"/>
      <w:r w:rsidR="00716DCA" w:rsidRPr="00723135">
        <w:rPr>
          <w:bCs/>
          <w:lang w:val="en-US"/>
        </w:rPr>
        <w:t>Acciaro</w:t>
      </w:r>
      <w:proofErr w:type="spellEnd"/>
      <w:r w:rsidR="00716DCA" w:rsidRPr="00723135">
        <w:rPr>
          <w:bCs/>
          <w:lang w:val="en-US"/>
        </w:rPr>
        <w:t xml:space="preserve"> et al., 2013):</w:t>
      </w:r>
    </w:p>
    <w:p w:rsidR="00716DCA" w:rsidRPr="00723135" w:rsidRDefault="00716DCA" w:rsidP="00B60466">
      <w:pPr>
        <w:ind w:left="426"/>
        <w:jc w:val="both"/>
        <w:rPr>
          <w:bCs/>
          <w:lang w:val="en-US"/>
        </w:rPr>
      </w:pPr>
    </w:p>
    <w:p w:rsidR="00716DCA" w:rsidRPr="004F5DBD" w:rsidRDefault="00285AFB" w:rsidP="00716DCA">
      <w:pPr>
        <w:jc w:val="both"/>
        <w:rPr>
          <w:rFonts w:eastAsiaTheme="minorEastAsi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i</m:t>
              </m:r>
            </m:sub>
          </m:sSub>
          <m:r>
            <w:rPr>
              <w:rFonts w:ascii="Cambria Math" w:hAnsi="Cambria Math"/>
              <w:sz w:val="20"/>
              <w:szCs w:val="20"/>
              <w:lang w:val="en-US"/>
            </w:rPr>
            <m:t>=</m:t>
          </m:r>
          <m:r>
            <m:rPr>
              <m:sty m:val="p"/>
            </m:rPr>
            <w:rPr>
              <w:rFonts w:ascii="Cambria Math" w:hAnsi="Cambria Math"/>
              <w:sz w:val="20"/>
              <w:szCs w:val="20"/>
              <w:lang w:val="en-US"/>
            </w:rPr>
            <m:t xml:space="preserve"> </m:t>
          </m:r>
          <m:f>
            <m:fPr>
              <m:ctrlPr>
                <w:rPr>
                  <w:rFonts w:ascii="Cambria Math" w:hAnsi="Cambria Math"/>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 xml:space="preserve">i </m:t>
                  </m:r>
                </m:sub>
              </m:sSub>
              <m:r>
                <w:rPr>
                  <w:rFonts w:ascii="Cambria Math" w:hAnsi="Cambria Math"/>
                  <w:sz w:val="20"/>
                  <w:szCs w:val="20"/>
                  <w:lang w:val="en-US"/>
                </w:rPr>
                <m:t>-</m:t>
              </m:r>
              <m:r>
                <m:rPr>
                  <m:sty m:val="p"/>
                </m:rPr>
                <w:rPr>
                  <w:rFonts w:ascii="Cambria Math" w:hAnsi="Cambria Math"/>
                  <w:sz w:val="20"/>
                  <w:szCs w:val="20"/>
                  <w:lang w:val="en-US"/>
                </w:rPr>
                <m:t>min⁡</m:t>
              </m:r>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i)</m:t>
                  </m:r>
                </m:sub>
              </m:sSub>
            </m:num>
            <m:den>
              <m:func>
                <m:funcPr>
                  <m:ctrlPr>
                    <w:rPr>
                      <w:rFonts w:ascii="Cambria Math" w:hAnsi="Cambria Math"/>
                      <w:i/>
                      <w:sz w:val="20"/>
                      <w:szCs w:val="20"/>
                      <w:lang w:val="en-US"/>
                    </w:rPr>
                  </m:ctrlPr>
                </m:funcPr>
                <m:fName>
                  <m:r>
                    <m:rPr>
                      <m:sty m:val="p"/>
                    </m:rPr>
                    <w:rPr>
                      <w:rFonts w:ascii="Cambria Math" w:hAnsi="Cambria Math"/>
                      <w:sz w:val="20"/>
                      <w:szCs w:val="20"/>
                      <w:lang w:val="en-US"/>
                    </w:rPr>
                    <m:t>max</m:t>
                  </m:r>
                </m:fName>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i</m:t>
                          </m:r>
                        </m:sub>
                      </m:sSub>
                    </m:e>
                  </m:d>
                </m:e>
              </m:func>
              <m:r>
                <w:rPr>
                  <w:rFonts w:ascii="Cambria Math" w:hAnsi="Cambria Math"/>
                  <w:sz w:val="20"/>
                  <w:szCs w:val="20"/>
                  <w:lang w:val="en-US"/>
                </w:rPr>
                <m:t xml:space="preserve">- </m:t>
              </m:r>
              <m:sSub>
                <m:sSubPr>
                  <m:ctrlPr>
                    <w:rPr>
                      <w:rFonts w:ascii="Cambria Math" w:hAnsi="Cambria Math"/>
                      <w:i/>
                      <w:sz w:val="20"/>
                      <w:szCs w:val="20"/>
                      <w:lang w:val="en-US"/>
                    </w:rPr>
                  </m:ctrlPr>
                </m:sSubPr>
                <m:e>
                  <m:r>
                    <m:rPr>
                      <m:sty m:val="p"/>
                    </m:rPr>
                    <w:rPr>
                      <w:rFonts w:ascii="Cambria Math" w:hAnsi="Cambria Math"/>
                      <w:sz w:val="20"/>
                      <w:szCs w:val="20"/>
                      <w:lang w:val="en-US"/>
                    </w:rPr>
                    <m:t>min⁡</m:t>
                  </m:r>
                  <m:r>
                    <w:rPr>
                      <w:rFonts w:ascii="Cambria Math" w:hAnsi="Cambria Math"/>
                      <w:sz w:val="20"/>
                      <w:szCs w:val="20"/>
                      <w:lang w:val="en-US"/>
                    </w:rPr>
                    <m:t>(h</m:t>
                  </m:r>
                </m:e>
                <m:sub>
                  <m:r>
                    <w:rPr>
                      <w:rFonts w:ascii="Cambria Math" w:hAnsi="Cambria Math"/>
                      <w:sz w:val="20"/>
                      <w:szCs w:val="20"/>
                      <w:lang w:val="en-US"/>
                    </w:rPr>
                    <m:t>i</m:t>
                  </m:r>
                </m:sub>
              </m:sSub>
              <m:r>
                <w:rPr>
                  <w:rFonts w:ascii="Cambria Math" w:hAnsi="Cambria Math"/>
                  <w:sz w:val="20"/>
                  <w:szCs w:val="20"/>
                  <w:lang w:val="en-US"/>
                </w:rPr>
                <m:t>)</m:t>
              </m:r>
            </m:den>
          </m:f>
        </m:oMath>
      </m:oMathPara>
    </w:p>
    <w:p w:rsidR="007758D5" w:rsidRPr="00723135" w:rsidRDefault="007758D5" w:rsidP="00B60466">
      <w:pPr>
        <w:ind w:left="426"/>
        <w:jc w:val="both"/>
        <w:rPr>
          <w:bCs/>
          <w:lang w:val="en-US"/>
        </w:rPr>
      </w:pPr>
      <w:r w:rsidRPr="00723135">
        <w:rPr>
          <w:bCs/>
          <w:lang w:val="en-US"/>
        </w:rPr>
        <w:lastRenderedPageBreak/>
        <w:t xml:space="preserve">On a 3-point Likert scale, the relative H-index can be interpreted as follows. When </w:t>
      </w:r>
      <w:r w:rsidR="00716DCA" w:rsidRPr="00A2111B">
        <w:rPr>
          <w:bCs/>
          <w:i/>
          <w:lang w:val="en-US"/>
        </w:rPr>
        <w:t>H</w:t>
      </w:r>
      <w:r w:rsidR="00716DCA" w:rsidRPr="00A2111B">
        <w:rPr>
          <w:bCs/>
          <w:i/>
          <w:vertAlign w:val="subscript"/>
          <w:lang w:val="en-US"/>
        </w:rPr>
        <w:t>i</w:t>
      </w:r>
      <w:r w:rsidR="00716DCA" w:rsidRPr="00723135">
        <w:rPr>
          <w:bCs/>
          <w:lang w:val="en-US"/>
        </w:rPr>
        <w:t xml:space="preserve"> </w:t>
      </w:r>
      <w:r w:rsidR="00B64F99" w:rsidRPr="00723135">
        <w:rPr>
          <w:bCs/>
          <w:lang w:val="en-US"/>
        </w:rPr>
        <w:t>equals 100</w:t>
      </w:r>
      <w:r w:rsidRPr="00723135">
        <w:rPr>
          <w:bCs/>
          <w:lang w:val="en-US"/>
        </w:rPr>
        <w:t xml:space="preserve">%, maximum homogeneity is reached, as all the elements are given the same score (respondent agreement). When </w:t>
      </w:r>
      <w:r w:rsidR="00716DCA" w:rsidRPr="00A2111B">
        <w:rPr>
          <w:bCs/>
          <w:i/>
          <w:lang w:val="en-US"/>
        </w:rPr>
        <w:t>H</w:t>
      </w:r>
      <w:r w:rsidR="00716DCA" w:rsidRPr="00A2111B">
        <w:rPr>
          <w:bCs/>
          <w:i/>
          <w:vertAlign w:val="subscript"/>
          <w:lang w:val="en-US"/>
        </w:rPr>
        <w:t>i</w:t>
      </w:r>
      <w:r w:rsidR="00B64F99" w:rsidRPr="00723135">
        <w:rPr>
          <w:bCs/>
          <w:lang w:val="en-US"/>
        </w:rPr>
        <w:t xml:space="preserve"> equals 0</w:t>
      </w:r>
      <w:r w:rsidRPr="00723135">
        <w:rPr>
          <w:bCs/>
          <w:lang w:val="en-US"/>
        </w:rPr>
        <w:t>%, maximum heterogeneity is reached, as all the elements are given a different score (respondent disagreement).</w:t>
      </w:r>
      <w:r w:rsidR="00D0356E" w:rsidRPr="00723135">
        <w:rPr>
          <w:bCs/>
          <w:lang w:val="en-US"/>
        </w:rPr>
        <w:t xml:space="preserve"> This is also </w:t>
      </w:r>
      <w:r w:rsidR="00C54B84">
        <w:rPr>
          <w:bCs/>
          <w:lang w:val="en-US"/>
        </w:rPr>
        <w:t>illustrated</w:t>
      </w:r>
      <w:r w:rsidR="00D0356E" w:rsidRPr="00723135">
        <w:rPr>
          <w:bCs/>
          <w:lang w:val="en-US"/>
        </w:rPr>
        <w:t xml:space="preserve"> in</w:t>
      </w:r>
      <w:r w:rsidR="00C533BC" w:rsidRPr="00723135">
        <w:rPr>
          <w:bCs/>
          <w:lang w:val="en-US"/>
        </w:rPr>
        <w:t xml:space="preserve"> </w:t>
      </w:r>
      <w:r w:rsidR="00B64F99" w:rsidRPr="00723135">
        <w:rPr>
          <w:bCs/>
          <w:lang w:val="en-US"/>
        </w:rPr>
        <w:fldChar w:fldCharType="begin"/>
      </w:r>
      <w:r w:rsidR="00B64F99" w:rsidRPr="00723135">
        <w:rPr>
          <w:bCs/>
          <w:lang w:val="en-US"/>
        </w:rPr>
        <w:instrText xml:space="preserve"> REF _Ref416431281 \h </w:instrText>
      </w:r>
      <w:r w:rsidR="00B64F99" w:rsidRPr="00723135">
        <w:rPr>
          <w:bCs/>
          <w:lang w:val="en-US"/>
        </w:rPr>
      </w:r>
      <w:r w:rsidR="00B64F99" w:rsidRPr="00723135">
        <w:rPr>
          <w:bCs/>
          <w:lang w:val="en-US"/>
        </w:rPr>
        <w:fldChar w:fldCharType="separate"/>
      </w:r>
      <w:r w:rsidR="00FB494B" w:rsidRPr="00723135">
        <w:rPr>
          <w:lang w:val="en-US"/>
        </w:rPr>
        <w:t xml:space="preserve">Figure </w:t>
      </w:r>
      <w:r w:rsidR="00FB494B">
        <w:rPr>
          <w:noProof/>
          <w:lang w:val="en-US"/>
        </w:rPr>
        <w:t>2</w:t>
      </w:r>
      <w:r w:rsidR="00B64F99" w:rsidRPr="00723135">
        <w:rPr>
          <w:bCs/>
          <w:lang w:val="en-US"/>
        </w:rPr>
        <w:fldChar w:fldCharType="end"/>
      </w:r>
      <w:r w:rsidR="00D0356E" w:rsidRPr="00723135">
        <w:rPr>
          <w:bCs/>
          <w:lang w:val="en-US"/>
        </w:rPr>
        <w:t>.</w:t>
      </w:r>
    </w:p>
    <w:p w:rsidR="00D0356E" w:rsidRPr="00723135" w:rsidRDefault="00D0356E" w:rsidP="00B60466">
      <w:pPr>
        <w:ind w:left="426"/>
        <w:jc w:val="both"/>
        <w:rPr>
          <w:bCs/>
          <w:lang w:val="en-US"/>
        </w:rPr>
      </w:pPr>
    </w:p>
    <w:p w:rsidR="00D0356E" w:rsidRPr="00723135" w:rsidRDefault="00D0356E" w:rsidP="00D0356E">
      <w:pPr>
        <w:pStyle w:val="Caption"/>
        <w:keepNext/>
        <w:jc w:val="center"/>
        <w:rPr>
          <w:lang w:val="en-US"/>
        </w:rPr>
      </w:pPr>
      <w:bookmarkStart w:id="4" w:name="_Ref416431281"/>
      <w:r w:rsidRPr="00723135">
        <w:rPr>
          <w:lang w:val="en-US"/>
        </w:rPr>
        <w:t xml:space="preserve">Figure </w:t>
      </w:r>
      <w:r w:rsidR="00B64F99" w:rsidRPr="00723135">
        <w:rPr>
          <w:lang w:val="en-US"/>
        </w:rPr>
        <w:fldChar w:fldCharType="begin"/>
      </w:r>
      <w:r w:rsidR="00B64F99" w:rsidRPr="00723135">
        <w:rPr>
          <w:lang w:val="en-US"/>
        </w:rPr>
        <w:instrText xml:space="preserve"> SEQ Figure \* ARABIC </w:instrText>
      </w:r>
      <w:r w:rsidR="00B64F99" w:rsidRPr="00723135">
        <w:rPr>
          <w:lang w:val="en-US"/>
        </w:rPr>
        <w:fldChar w:fldCharType="separate"/>
      </w:r>
      <w:r w:rsidR="00FB494B">
        <w:rPr>
          <w:noProof/>
          <w:lang w:val="en-US"/>
        </w:rPr>
        <w:t>2</w:t>
      </w:r>
      <w:r w:rsidR="00B64F99" w:rsidRPr="00723135">
        <w:rPr>
          <w:lang w:val="en-US"/>
        </w:rPr>
        <w:fldChar w:fldCharType="end"/>
      </w:r>
      <w:bookmarkEnd w:id="4"/>
      <w:r w:rsidRPr="00723135">
        <w:rPr>
          <w:lang w:val="en-US"/>
        </w:rPr>
        <w:t>: Maximum absolute and relative homogeneity a</w:t>
      </w:r>
      <w:r w:rsidR="00C533BC" w:rsidRPr="00723135">
        <w:rPr>
          <w:lang w:val="en-US"/>
        </w:rPr>
        <w:t>nd heterogeneity examples</w:t>
      </w:r>
    </w:p>
    <w:p w:rsidR="00D0356E" w:rsidRPr="00723135" w:rsidRDefault="00DF6DD8" w:rsidP="00D0356E">
      <w:pPr>
        <w:keepNext/>
        <w:jc w:val="center"/>
        <w:rPr>
          <w:lang w:val="en-US"/>
        </w:rPr>
      </w:pPr>
      <w:r>
        <w:rPr>
          <w:bCs/>
          <w:noProof/>
          <w:lang w:val="en-GB" w:eastAsia="en-GB"/>
        </w:rPr>
        <w:drawing>
          <wp:inline distT="0" distB="0" distL="0" distR="0" wp14:anchorId="2453CCCC" wp14:editId="3DE47285">
            <wp:extent cx="5749925" cy="1385570"/>
            <wp:effectExtent l="0" t="0" r="3175" b="5080"/>
            <wp:docPr id="5" name="Picture 5" descr="C:\Users\FTroch\Desktop\BIVEC\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Troch\Desktop\BIVEC\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1385570"/>
                    </a:xfrm>
                    <a:prstGeom prst="rect">
                      <a:avLst/>
                    </a:prstGeom>
                    <a:noFill/>
                    <a:ln>
                      <a:noFill/>
                    </a:ln>
                  </pic:spPr>
                </pic:pic>
              </a:graphicData>
            </a:graphic>
          </wp:inline>
        </w:drawing>
      </w:r>
    </w:p>
    <w:p w:rsidR="00C533BC" w:rsidRPr="00723135" w:rsidRDefault="00723135" w:rsidP="00D0356E">
      <w:pPr>
        <w:keepNext/>
        <w:jc w:val="center"/>
        <w:rPr>
          <w:sz w:val="20"/>
          <w:szCs w:val="20"/>
          <w:lang w:val="en-US"/>
        </w:rPr>
      </w:pPr>
      <w:r w:rsidRPr="00723135">
        <w:rPr>
          <w:sz w:val="20"/>
          <w:szCs w:val="20"/>
          <w:lang w:val="en-US"/>
        </w:rPr>
        <w:t>Source:</w:t>
      </w:r>
      <w:r w:rsidR="00C533BC" w:rsidRPr="00723135">
        <w:rPr>
          <w:sz w:val="20"/>
          <w:szCs w:val="20"/>
          <w:lang w:val="en-US"/>
        </w:rPr>
        <w:t xml:space="preserve"> Own composition</w:t>
      </w:r>
    </w:p>
    <w:p w:rsidR="007758D5" w:rsidRPr="00723135" w:rsidRDefault="007758D5" w:rsidP="007758D5">
      <w:pPr>
        <w:ind w:left="284"/>
        <w:jc w:val="both"/>
        <w:rPr>
          <w:bCs/>
          <w:lang w:val="en-US"/>
        </w:rPr>
      </w:pPr>
    </w:p>
    <w:p w:rsidR="00B60466" w:rsidRPr="00723135" w:rsidRDefault="00B60466" w:rsidP="00B60466">
      <w:pPr>
        <w:numPr>
          <w:ilvl w:val="2"/>
          <w:numId w:val="1"/>
        </w:numPr>
        <w:tabs>
          <w:tab w:val="clear" w:pos="1440"/>
          <w:tab w:val="num" w:pos="1260"/>
        </w:tabs>
        <w:ind w:left="1072" w:hanging="505"/>
        <w:jc w:val="both"/>
        <w:rPr>
          <w:lang w:val="en-US"/>
        </w:rPr>
      </w:pPr>
      <w:r w:rsidRPr="00723135">
        <w:rPr>
          <w:lang w:val="en-US"/>
        </w:rPr>
        <w:t>Va</w:t>
      </w:r>
      <w:r w:rsidR="00C54B84">
        <w:rPr>
          <w:lang w:val="en-US"/>
        </w:rPr>
        <w:t xml:space="preserve">lidation of a simplified Likert </w:t>
      </w:r>
      <w:r w:rsidRPr="00723135">
        <w:rPr>
          <w:lang w:val="en-US"/>
        </w:rPr>
        <w:t>scale</w:t>
      </w:r>
    </w:p>
    <w:p w:rsidR="007758D5" w:rsidRPr="00723135" w:rsidRDefault="007758D5" w:rsidP="00B60466">
      <w:pPr>
        <w:jc w:val="both"/>
        <w:rPr>
          <w:bCs/>
          <w:lang w:val="en-US"/>
        </w:rPr>
      </w:pPr>
      <w:r w:rsidRPr="00723135">
        <w:rPr>
          <w:bCs/>
          <w:lang w:val="en-US"/>
        </w:rPr>
        <w:t>The advantage of a</w:t>
      </w:r>
      <w:r w:rsidR="00C54B84">
        <w:rPr>
          <w:bCs/>
          <w:lang w:val="en-US"/>
        </w:rPr>
        <w:t xml:space="preserve"> 5-point Likert scale over a 3-point Likert </w:t>
      </w:r>
      <w:r w:rsidRPr="00723135">
        <w:rPr>
          <w:bCs/>
          <w:lang w:val="en-US"/>
        </w:rPr>
        <w:t>scale, is that respondents receive less stimulation to select the neutral option. However, for analysis with the H-index, a degree variation in a selection of similar options might lead to false conclusions. This is illus</w:t>
      </w:r>
      <w:r w:rsidR="00B64F99" w:rsidRPr="00723135">
        <w:rPr>
          <w:bCs/>
          <w:lang w:val="en-US"/>
        </w:rPr>
        <w:t xml:space="preserve">trated in the examples in </w:t>
      </w:r>
      <w:r w:rsidR="00B64F99" w:rsidRPr="00723135">
        <w:rPr>
          <w:bCs/>
          <w:lang w:val="en-US"/>
        </w:rPr>
        <w:fldChar w:fldCharType="begin"/>
      </w:r>
      <w:r w:rsidR="00B64F99" w:rsidRPr="00723135">
        <w:rPr>
          <w:bCs/>
          <w:lang w:val="en-US"/>
        </w:rPr>
        <w:instrText xml:space="preserve"> REF _Ref416431400 \h </w:instrText>
      </w:r>
      <w:r w:rsidR="00B64F99" w:rsidRPr="00723135">
        <w:rPr>
          <w:bCs/>
          <w:lang w:val="en-US"/>
        </w:rPr>
      </w:r>
      <w:r w:rsidR="00B64F99" w:rsidRPr="00723135">
        <w:rPr>
          <w:bCs/>
          <w:lang w:val="en-US"/>
        </w:rPr>
        <w:fldChar w:fldCharType="separate"/>
      </w:r>
      <w:r w:rsidR="00FB494B" w:rsidRPr="00723135">
        <w:rPr>
          <w:lang w:val="en-US"/>
        </w:rPr>
        <w:t xml:space="preserve">Figure </w:t>
      </w:r>
      <w:r w:rsidR="00FB494B">
        <w:rPr>
          <w:noProof/>
          <w:lang w:val="en-US"/>
        </w:rPr>
        <w:t>3</w:t>
      </w:r>
      <w:r w:rsidR="00B64F99" w:rsidRPr="00723135">
        <w:rPr>
          <w:bCs/>
          <w:lang w:val="en-US"/>
        </w:rPr>
        <w:fldChar w:fldCharType="end"/>
      </w:r>
      <w:r w:rsidR="00C54B84">
        <w:rPr>
          <w:bCs/>
          <w:lang w:val="en-US"/>
        </w:rPr>
        <w:t xml:space="preserve">. Using a 5-point Likert </w:t>
      </w:r>
      <w:r w:rsidRPr="00723135">
        <w:rPr>
          <w:bCs/>
          <w:lang w:val="en-US"/>
        </w:rPr>
        <w:t xml:space="preserve">scale leads to the impression that both examples result in an equal H-index of </w:t>
      </w:r>
      <w:r w:rsidR="00B64F99" w:rsidRPr="00723135">
        <w:rPr>
          <w:bCs/>
          <w:lang w:val="en-US"/>
        </w:rPr>
        <w:t>30</w:t>
      </w:r>
      <w:r w:rsidRPr="00723135">
        <w:rPr>
          <w:bCs/>
          <w:lang w:val="en-US"/>
        </w:rPr>
        <w:t xml:space="preserve">%, and as such a similar agreement rate between the respondents. However, when the answers from similar selection possibilities are </w:t>
      </w:r>
      <w:r w:rsidR="00C54B84">
        <w:rPr>
          <w:bCs/>
          <w:lang w:val="en-US"/>
        </w:rPr>
        <w:t>clustered into a 3-point Likert s</w:t>
      </w:r>
      <w:r w:rsidRPr="00723135">
        <w:rPr>
          <w:bCs/>
          <w:lang w:val="en-US"/>
        </w:rPr>
        <w:t xml:space="preserve">cale, as </w:t>
      </w:r>
      <w:r w:rsidR="00C54B84">
        <w:rPr>
          <w:bCs/>
          <w:lang w:val="en-US"/>
        </w:rPr>
        <w:t>illustrated</w:t>
      </w:r>
      <w:r w:rsidRPr="00723135">
        <w:rPr>
          <w:bCs/>
          <w:lang w:val="en-US"/>
        </w:rPr>
        <w:t xml:space="preserve"> in </w:t>
      </w:r>
      <w:r w:rsidR="00B64F99" w:rsidRPr="00723135">
        <w:rPr>
          <w:bCs/>
          <w:lang w:val="en-US"/>
        </w:rPr>
        <w:fldChar w:fldCharType="begin"/>
      </w:r>
      <w:r w:rsidR="00B64F99" w:rsidRPr="00723135">
        <w:rPr>
          <w:bCs/>
          <w:lang w:val="en-US"/>
        </w:rPr>
        <w:instrText xml:space="preserve"> REF _Ref416428554 \h </w:instrText>
      </w:r>
      <w:r w:rsidR="00B64F99" w:rsidRPr="00723135">
        <w:rPr>
          <w:bCs/>
          <w:lang w:val="en-US"/>
        </w:rPr>
      </w:r>
      <w:r w:rsidR="00B64F99" w:rsidRPr="00723135">
        <w:rPr>
          <w:bCs/>
          <w:lang w:val="en-US"/>
        </w:rPr>
        <w:fldChar w:fldCharType="separate"/>
      </w:r>
      <w:r w:rsidR="00FB494B" w:rsidRPr="00723135">
        <w:rPr>
          <w:lang w:val="en-US"/>
        </w:rPr>
        <w:t xml:space="preserve">Figure </w:t>
      </w:r>
      <w:r w:rsidR="00FB494B">
        <w:rPr>
          <w:noProof/>
          <w:lang w:val="en-US"/>
        </w:rPr>
        <w:t>1</w:t>
      </w:r>
      <w:r w:rsidR="00B64F99" w:rsidRPr="00723135">
        <w:rPr>
          <w:bCs/>
          <w:lang w:val="en-US"/>
        </w:rPr>
        <w:fldChar w:fldCharType="end"/>
      </w:r>
      <w:r w:rsidR="00B64F99" w:rsidRPr="00723135">
        <w:rPr>
          <w:bCs/>
          <w:lang w:val="en-US"/>
        </w:rPr>
        <w:t xml:space="preserve">, </w:t>
      </w:r>
      <w:r w:rsidRPr="00723135">
        <w:rPr>
          <w:bCs/>
          <w:lang w:val="en-US"/>
        </w:rPr>
        <w:t>the intuitive difference between both examples becomes clearer. As the answers in the second example are spread only over the neutral and positive selection optio</w:t>
      </w:r>
      <w:r w:rsidR="00B64F99" w:rsidRPr="00723135">
        <w:rPr>
          <w:bCs/>
          <w:lang w:val="en-US"/>
        </w:rPr>
        <w:t>ns, the homogeneity rises to 52</w:t>
      </w:r>
      <w:r w:rsidRPr="00723135">
        <w:rPr>
          <w:bCs/>
          <w:lang w:val="en-US"/>
        </w:rPr>
        <w:t>%.</w:t>
      </w:r>
    </w:p>
    <w:p w:rsidR="00D0356E" w:rsidRPr="00723135" w:rsidRDefault="00D0356E" w:rsidP="00D0356E">
      <w:pPr>
        <w:jc w:val="both"/>
        <w:rPr>
          <w:bCs/>
          <w:lang w:val="en-US"/>
        </w:rPr>
      </w:pPr>
    </w:p>
    <w:p w:rsidR="00B64F99" w:rsidRPr="00723135" w:rsidRDefault="00B64F99" w:rsidP="00B64F99">
      <w:pPr>
        <w:pStyle w:val="Caption"/>
        <w:keepNext/>
        <w:jc w:val="center"/>
        <w:rPr>
          <w:lang w:val="en-US"/>
        </w:rPr>
      </w:pPr>
      <w:bookmarkStart w:id="5" w:name="_Ref416431400"/>
      <w:r w:rsidRPr="00723135">
        <w:rPr>
          <w:lang w:val="en-US"/>
        </w:rPr>
        <w:t xml:space="preserve">Figure </w:t>
      </w:r>
      <w:r w:rsidRPr="00723135">
        <w:rPr>
          <w:lang w:val="en-US"/>
        </w:rPr>
        <w:fldChar w:fldCharType="begin"/>
      </w:r>
      <w:r w:rsidRPr="00723135">
        <w:rPr>
          <w:lang w:val="en-US"/>
        </w:rPr>
        <w:instrText xml:space="preserve"> SEQ Figure \* ARABIC </w:instrText>
      </w:r>
      <w:r w:rsidRPr="00723135">
        <w:rPr>
          <w:lang w:val="en-US"/>
        </w:rPr>
        <w:fldChar w:fldCharType="separate"/>
      </w:r>
      <w:r w:rsidR="00FB494B">
        <w:rPr>
          <w:noProof/>
          <w:lang w:val="en-US"/>
        </w:rPr>
        <w:t>3</w:t>
      </w:r>
      <w:r w:rsidRPr="00723135">
        <w:rPr>
          <w:lang w:val="en-US"/>
        </w:rPr>
        <w:fldChar w:fldCharType="end"/>
      </w:r>
      <w:bookmarkEnd w:id="5"/>
      <w:r w:rsidRPr="00723135">
        <w:rPr>
          <w:lang w:val="en-US"/>
        </w:rPr>
        <w:t>: Comparing examples with</w:t>
      </w:r>
      <w:r w:rsidR="00C54B84">
        <w:rPr>
          <w:lang w:val="en-US"/>
        </w:rPr>
        <w:t xml:space="preserve"> a 3-point and a 5-point Likert </w:t>
      </w:r>
      <w:r w:rsidRPr="00723135">
        <w:rPr>
          <w:lang w:val="en-US"/>
        </w:rPr>
        <w:t>scale</w:t>
      </w:r>
    </w:p>
    <w:p w:rsidR="00D0356E" w:rsidRPr="00723135" w:rsidRDefault="00DF6DD8" w:rsidP="00B64F99">
      <w:pPr>
        <w:jc w:val="center"/>
        <w:rPr>
          <w:bCs/>
          <w:lang w:val="en-US"/>
        </w:rPr>
      </w:pPr>
      <w:r>
        <w:rPr>
          <w:bCs/>
          <w:noProof/>
          <w:lang w:val="en-GB" w:eastAsia="en-GB"/>
        </w:rPr>
        <w:drawing>
          <wp:inline distT="0" distB="0" distL="0" distR="0" wp14:anchorId="2D19EDB8" wp14:editId="56C16A42">
            <wp:extent cx="5756910" cy="1720215"/>
            <wp:effectExtent l="0" t="0" r="0" b="0"/>
            <wp:docPr id="3" name="Picture 3" descr="C:\Users\FTroch\Desktop\BIVEC\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roch\Desktop\BIVEC\figure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1720215"/>
                    </a:xfrm>
                    <a:prstGeom prst="rect">
                      <a:avLst/>
                    </a:prstGeom>
                    <a:noFill/>
                    <a:ln>
                      <a:noFill/>
                    </a:ln>
                  </pic:spPr>
                </pic:pic>
              </a:graphicData>
            </a:graphic>
          </wp:inline>
        </w:drawing>
      </w:r>
    </w:p>
    <w:p w:rsidR="00B64F99" w:rsidRPr="00723135" w:rsidRDefault="00B64F99" w:rsidP="00B64F99">
      <w:pPr>
        <w:jc w:val="center"/>
        <w:rPr>
          <w:bCs/>
          <w:sz w:val="20"/>
          <w:szCs w:val="20"/>
          <w:lang w:val="en-US"/>
        </w:rPr>
      </w:pPr>
      <w:r w:rsidRPr="00723135">
        <w:rPr>
          <w:bCs/>
          <w:sz w:val="20"/>
          <w:szCs w:val="20"/>
          <w:lang w:val="en-US"/>
        </w:rPr>
        <w:t>Source: Own composition</w:t>
      </w:r>
    </w:p>
    <w:p w:rsidR="00B64F99" w:rsidRPr="00723135" w:rsidRDefault="00B64F99" w:rsidP="007758D5">
      <w:pPr>
        <w:ind w:left="284"/>
        <w:jc w:val="both"/>
        <w:rPr>
          <w:bCs/>
          <w:lang w:val="en-US"/>
        </w:rPr>
      </w:pPr>
    </w:p>
    <w:p w:rsidR="004C0E0C" w:rsidRDefault="007758D5" w:rsidP="004C0E0C">
      <w:pPr>
        <w:jc w:val="both"/>
        <w:rPr>
          <w:bCs/>
          <w:lang w:val="en-US"/>
        </w:rPr>
      </w:pPr>
      <w:r w:rsidRPr="00723135">
        <w:rPr>
          <w:bCs/>
          <w:lang w:val="en-US"/>
        </w:rPr>
        <w:t xml:space="preserve">In order to define the priority for each element, the modus and the H-index are calculated. The elements are then sorted according to the modus, positive to negative, and sub-ranked according to the calculated homogeneity. </w:t>
      </w:r>
      <w:r w:rsidR="00C54B84">
        <w:rPr>
          <w:bCs/>
          <w:lang w:val="en-US"/>
        </w:rPr>
        <w:t>By doing so,</w:t>
      </w:r>
      <w:r w:rsidRPr="00723135">
        <w:rPr>
          <w:bCs/>
          <w:lang w:val="en-US"/>
        </w:rPr>
        <w:t xml:space="preserve"> a ranking is obtained, indicating the answers with the highest modus and level of agreement between respondents. Priority is given to the elements with the biggest influence and the highest likelihood of happening. The results of this analysis are summarized in the next sections</w:t>
      </w:r>
      <w:r w:rsidR="00B64F99" w:rsidRPr="00723135">
        <w:rPr>
          <w:rStyle w:val="FootnoteReference"/>
          <w:bCs/>
          <w:lang w:val="en-US"/>
        </w:rPr>
        <w:footnoteReference w:id="8"/>
      </w:r>
      <w:r w:rsidRPr="00723135">
        <w:rPr>
          <w:bCs/>
          <w:lang w:val="en-US"/>
        </w:rPr>
        <w:t>.</w:t>
      </w:r>
    </w:p>
    <w:p w:rsidR="00101FF1" w:rsidRPr="00723135" w:rsidRDefault="007758D5" w:rsidP="00B60466">
      <w:pPr>
        <w:numPr>
          <w:ilvl w:val="0"/>
          <w:numId w:val="1"/>
        </w:numPr>
        <w:jc w:val="both"/>
        <w:rPr>
          <w:b/>
          <w:bCs/>
          <w:u w:val="single"/>
          <w:lang w:val="en-US"/>
        </w:rPr>
      </w:pPr>
      <w:r w:rsidRPr="00723135">
        <w:rPr>
          <w:b/>
          <w:bCs/>
          <w:u w:val="single"/>
          <w:lang w:val="en-US"/>
        </w:rPr>
        <w:lastRenderedPageBreak/>
        <w:t>Results</w:t>
      </w:r>
    </w:p>
    <w:p w:rsidR="00101FF1" w:rsidRPr="00723135" w:rsidRDefault="00101FF1" w:rsidP="00101FF1">
      <w:pPr>
        <w:jc w:val="both"/>
        <w:rPr>
          <w:u w:val="single"/>
          <w:lang w:val="en-US"/>
        </w:rPr>
      </w:pPr>
    </w:p>
    <w:p w:rsidR="007A743C" w:rsidRDefault="007A743C" w:rsidP="00101FF1">
      <w:pPr>
        <w:jc w:val="both"/>
        <w:rPr>
          <w:lang w:val="en-US"/>
        </w:rPr>
      </w:pPr>
      <w:r w:rsidRPr="00723135">
        <w:rPr>
          <w:lang w:val="en-US"/>
        </w:rPr>
        <w:t>The results in this section are a summary of the elements that have been identified</w:t>
      </w:r>
      <w:r w:rsidR="004C0E0C">
        <w:rPr>
          <w:lang w:val="en-US"/>
        </w:rPr>
        <w:t xml:space="preserve"> and selected based on their</w:t>
      </w:r>
      <w:r w:rsidRPr="00723135">
        <w:rPr>
          <w:lang w:val="en-US"/>
        </w:rPr>
        <w:t xml:space="preserve"> </w:t>
      </w:r>
      <w:r w:rsidR="004C0E0C">
        <w:rPr>
          <w:lang w:val="en-US"/>
        </w:rPr>
        <w:t>indication</w:t>
      </w:r>
      <w:r w:rsidRPr="00723135">
        <w:rPr>
          <w:lang w:val="en-US"/>
        </w:rPr>
        <w:t xml:space="preserve"> with an important impact </w:t>
      </w:r>
      <w:r w:rsidR="004C0E0C">
        <w:rPr>
          <w:lang w:val="en-US"/>
        </w:rPr>
        <w:t xml:space="preserve">factor </w:t>
      </w:r>
      <w:r w:rsidRPr="00723135">
        <w:rPr>
          <w:lang w:val="en-US"/>
        </w:rPr>
        <w:t>on intermodal rail freight developments and/or a considerable likelihood of happening in the future.</w:t>
      </w:r>
    </w:p>
    <w:p w:rsidR="00DF6DD8" w:rsidRPr="00723135" w:rsidRDefault="00DF6DD8" w:rsidP="00101FF1">
      <w:pPr>
        <w:jc w:val="both"/>
        <w:rPr>
          <w:lang w:val="en-US"/>
        </w:rPr>
      </w:pPr>
    </w:p>
    <w:p w:rsidR="007758D5" w:rsidRPr="00723135" w:rsidRDefault="007758D5" w:rsidP="00B60466">
      <w:pPr>
        <w:numPr>
          <w:ilvl w:val="1"/>
          <w:numId w:val="1"/>
        </w:numPr>
        <w:ind w:left="284" w:firstLine="0"/>
        <w:jc w:val="both"/>
        <w:rPr>
          <w:b/>
          <w:bCs/>
          <w:lang w:val="en-US"/>
        </w:rPr>
      </w:pPr>
      <w:r w:rsidRPr="00723135">
        <w:rPr>
          <w:b/>
          <w:bCs/>
          <w:lang w:val="en-US"/>
        </w:rPr>
        <w:t>Strengths</w:t>
      </w:r>
    </w:p>
    <w:p w:rsidR="007A743C" w:rsidRPr="00723135" w:rsidRDefault="00C54B84" w:rsidP="007A743C">
      <w:pPr>
        <w:jc w:val="both"/>
        <w:rPr>
          <w:lang w:val="en-US"/>
        </w:rPr>
      </w:pPr>
      <w:r>
        <w:rPr>
          <w:lang w:val="en-US"/>
        </w:rPr>
        <w:t xml:space="preserve">In total, </w:t>
      </w:r>
      <w:r w:rsidR="0042299B">
        <w:rPr>
          <w:lang w:val="en-US"/>
        </w:rPr>
        <w:t>14 strengths</w:t>
      </w:r>
      <w:r w:rsidR="007A743C" w:rsidRPr="00723135">
        <w:rPr>
          <w:lang w:val="en-US"/>
        </w:rPr>
        <w:t xml:space="preserve"> of intermodal rail transport are identified and appro</w:t>
      </w:r>
      <w:r w:rsidR="004C0E0C">
        <w:rPr>
          <w:lang w:val="en-US"/>
        </w:rPr>
        <w:t xml:space="preserve">ved by the heterogeneous panel. They are </w:t>
      </w:r>
      <w:r w:rsidR="007A743C" w:rsidRPr="00723135">
        <w:rPr>
          <w:lang w:val="en-US"/>
        </w:rPr>
        <w:t xml:space="preserve">taken into account as input </w:t>
      </w:r>
      <w:r w:rsidR="00892862" w:rsidRPr="00723135">
        <w:rPr>
          <w:lang w:val="en-US"/>
        </w:rPr>
        <w:t>for</w:t>
      </w:r>
      <w:r w:rsidR="007A743C" w:rsidRPr="00723135">
        <w:rPr>
          <w:lang w:val="en-US"/>
        </w:rPr>
        <w:t xml:space="preserve"> the survey</w:t>
      </w:r>
      <w:r w:rsidR="004C0E0C">
        <w:rPr>
          <w:lang w:val="en-US"/>
        </w:rPr>
        <w:t xml:space="preserve"> described in the methodology above</w:t>
      </w:r>
      <w:r w:rsidR="007A743C" w:rsidRPr="00723135">
        <w:rPr>
          <w:lang w:val="en-US"/>
        </w:rPr>
        <w:t xml:space="preserve">. Analyzing the frequency table for </w:t>
      </w:r>
      <w:r w:rsidR="004C0E0C">
        <w:rPr>
          <w:lang w:val="en-US"/>
        </w:rPr>
        <w:t>the</w:t>
      </w:r>
      <w:r w:rsidR="007A743C" w:rsidRPr="00723135">
        <w:rPr>
          <w:lang w:val="en-US"/>
        </w:rPr>
        <w:t xml:space="preserve"> strengths, a very diverse pattern can be found. Both for the influence and for the likelihood of happening, strengths are very much distributed over the negative (impact: 5 / likelihood: 5), neutral (impact: 3 / likelihood: 7) and positive (impact: 6 / likelihood: 2) factors.</w:t>
      </w:r>
      <w:r w:rsidR="00C7078D" w:rsidRPr="00723135">
        <w:rPr>
          <w:lang w:val="en-US"/>
        </w:rPr>
        <w:t xml:space="preserve"> Based on these survey results, </w:t>
      </w:r>
      <w:r w:rsidR="004C0E0C">
        <w:rPr>
          <w:lang w:val="en-US"/>
        </w:rPr>
        <w:t xml:space="preserve">the </w:t>
      </w:r>
      <w:r w:rsidR="00C7078D" w:rsidRPr="00723135">
        <w:rPr>
          <w:lang w:val="en-US"/>
        </w:rPr>
        <w:t>five</w:t>
      </w:r>
      <w:r w:rsidR="004C0E0C">
        <w:rPr>
          <w:lang w:val="en-US"/>
        </w:rPr>
        <w:t xml:space="preserve"> most meaningful</w:t>
      </w:r>
      <w:r w:rsidR="00C7078D" w:rsidRPr="00723135">
        <w:rPr>
          <w:lang w:val="en-US"/>
        </w:rPr>
        <w:t xml:space="preserve"> strengths are </w:t>
      </w:r>
      <w:r w:rsidR="004C0E0C">
        <w:rPr>
          <w:lang w:val="en-US"/>
        </w:rPr>
        <w:t xml:space="preserve">selected, </w:t>
      </w:r>
      <w:r w:rsidR="00C7078D" w:rsidRPr="00723135">
        <w:rPr>
          <w:lang w:val="en-US"/>
        </w:rPr>
        <w:t>to be discussed in detail below.</w:t>
      </w:r>
    </w:p>
    <w:p w:rsidR="007A743C" w:rsidRPr="00723135" w:rsidRDefault="007A743C" w:rsidP="007A743C">
      <w:pPr>
        <w:jc w:val="both"/>
        <w:rPr>
          <w:lang w:val="en-US"/>
        </w:rPr>
      </w:pPr>
    </w:p>
    <w:p w:rsidR="007A743C" w:rsidRPr="00723135" w:rsidRDefault="007A743C" w:rsidP="007A743C">
      <w:pPr>
        <w:jc w:val="both"/>
        <w:rPr>
          <w:lang w:val="en-US"/>
        </w:rPr>
      </w:pPr>
      <w:r w:rsidRPr="00723135">
        <w:rPr>
          <w:b/>
          <w:lang w:val="en-US"/>
        </w:rPr>
        <w:t xml:space="preserve">High </w:t>
      </w:r>
      <w:r w:rsidR="006008E0">
        <w:rPr>
          <w:b/>
          <w:lang w:val="en-US"/>
        </w:rPr>
        <w:t>payload capacity</w:t>
      </w:r>
      <w:r w:rsidRPr="00723135">
        <w:rPr>
          <w:b/>
          <w:lang w:val="en-US"/>
        </w:rPr>
        <w:t xml:space="preserve"> and reduced costs</w:t>
      </w:r>
      <w:r w:rsidRPr="00723135">
        <w:rPr>
          <w:lang w:val="en-US"/>
        </w:rPr>
        <w:tab/>
      </w:r>
      <w:r w:rsidRPr="00723135">
        <w:rPr>
          <w:lang w:val="en-US"/>
        </w:rPr>
        <w:tab/>
        <w:t xml:space="preserve">Due to the important </w:t>
      </w:r>
      <w:r w:rsidR="006008E0">
        <w:rPr>
          <w:lang w:val="en-US"/>
        </w:rPr>
        <w:t>capacity</w:t>
      </w:r>
      <w:r w:rsidRPr="00723135">
        <w:rPr>
          <w:lang w:val="en-US"/>
        </w:rPr>
        <w:t xml:space="preserve"> of trains and the concept of freight consolidation and flow </w:t>
      </w:r>
      <w:r w:rsidR="00892862" w:rsidRPr="00723135">
        <w:rPr>
          <w:lang w:val="en-US"/>
        </w:rPr>
        <w:t>bundling</w:t>
      </w:r>
      <w:r w:rsidRPr="00723135">
        <w:rPr>
          <w:lang w:val="en-US"/>
        </w:rPr>
        <w:t>, intermodal rail transport is able to move large quantities of goods, with a higher payload of containers in comparison to trucks (</w:t>
      </w:r>
      <w:proofErr w:type="spellStart"/>
      <w:r w:rsidRPr="00723135">
        <w:rPr>
          <w:lang w:val="en-US"/>
        </w:rPr>
        <w:t>Kreutzeberger</w:t>
      </w:r>
      <w:proofErr w:type="spellEnd"/>
      <w:r w:rsidR="00C7078D" w:rsidRPr="00723135">
        <w:rPr>
          <w:lang w:val="en-US"/>
        </w:rPr>
        <w:t xml:space="preserve"> et al.</w:t>
      </w:r>
      <w:r w:rsidRPr="00723135">
        <w:rPr>
          <w:lang w:val="en-US"/>
        </w:rPr>
        <w:t>, 2003). This strength is generating economies of scale, leading to reduced operations costs per unit transported (</w:t>
      </w:r>
      <w:proofErr w:type="spellStart"/>
      <w:r w:rsidRPr="00723135">
        <w:rPr>
          <w:lang w:val="en-US"/>
        </w:rPr>
        <w:t>Rodrigue</w:t>
      </w:r>
      <w:proofErr w:type="spellEnd"/>
      <w:r w:rsidR="00C7078D" w:rsidRPr="00723135">
        <w:rPr>
          <w:lang w:val="en-US"/>
        </w:rPr>
        <w:t xml:space="preserve"> et al.</w:t>
      </w:r>
      <w:r w:rsidR="004C0E0C">
        <w:rPr>
          <w:lang w:val="en-US"/>
        </w:rPr>
        <w:t>, 2006). This strength</w:t>
      </w:r>
      <w:r w:rsidRPr="00723135">
        <w:rPr>
          <w:lang w:val="en-US"/>
        </w:rPr>
        <w:t xml:space="preserve"> has been identified </w:t>
      </w:r>
      <w:r w:rsidR="004C0E0C">
        <w:rPr>
          <w:lang w:val="en-US"/>
        </w:rPr>
        <w:t>with</w:t>
      </w:r>
      <w:r w:rsidRPr="00723135">
        <w:rPr>
          <w:lang w:val="en-US"/>
        </w:rPr>
        <w:t xml:space="preserve"> a high impa</w:t>
      </w:r>
      <w:r w:rsidR="004C0E0C">
        <w:rPr>
          <w:lang w:val="en-US"/>
        </w:rPr>
        <w:t>ct on intermodal rail transport and</w:t>
      </w:r>
      <w:r w:rsidRPr="00723135">
        <w:rPr>
          <w:lang w:val="en-US"/>
        </w:rPr>
        <w:t xml:space="preserve"> a relative homogeneity of 34.18%, indicating a high level of agreement between the respondents. Regarding the likelihood of happening in the future, a </w:t>
      </w:r>
      <w:r w:rsidR="004C0E0C">
        <w:rPr>
          <w:lang w:val="en-US"/>
        </w:rPr>
        <w:t>high</w:t>
      </w:r>
      <w:r w:rsidRPr="00723135">
        <w:rPr>
          <w:lang w:val="en-US"/>
        </w:rPr>
        <w:t xml:space="preserve"> level of disagreement is observed, </w:t>
      </w:r>
      <w:r w:rsidR="004C0E0C">
        <w:rPr>
          <w:lang w:val="en-US"/>
        </w:rPr>
        <w:t xml:space="preserve">which can be derived from the </w:t>
      </w:r>
      <w:r w:rsidRPr="00723135">
        <w:rPr>
          <w:lang w:val="en-US"/>
        </w:rPr>
        <w:t xml:space="preserve">relative homogeneity of only 4.14%. </w:t>
      </w:r>
      <w:r w:rsidR="00892862" w:rsidRPr="00723135">
        <w:rPr>
          <w:lang w:val="en-US"/>
        </w:rPr>
        <w:t>Indeed, although 46.15% of the respondents agree with the moderate likelihood of happening, 30.77% states a positive likelihood and 23.08% states a negative likelihood of happening.</w:t>
      </w:r>
    </w:p>
    <w:p w:rsidR="007A743C" w:rsidRPr="00723135" w:rsidRDefault="007A743C" w:rsidP="007A743C">
      <w:pPr>
        <w:jc w:val="both"/>
        <w:rPr>
          <w:lang w:val="en-US"/>
        </w:rPr>
      </w:pPr>
    </w:p>
    <w:p w:rsidR="007A743C" w:rsidRPr="00723135" w:rsidRDefault="007A743C" w:rsidP="007A743C">
      <w:pPr>
        <w:jc w:val="both"/>
        <w:rPr>
          <w:lang w:val="en-US"/>
        </w:rPr>
      </w:pPr>
      <w:r w:rsidRPr="00723135">
        <w:rPr>
          <w:b/>
          <w:lang w:val="en-US"/>
        </w:rPr>
        <w:t>Reduced externalities</w:t>
      </w:r>
      <w:r w:rsidRPr="00723135">
        <w:rPr>
          <w:lang w:val="en-US"/>
        </w:rPr>
        <w:tab/>
        <w:t>External costs arise from influences on the environment due to the development of infrastructure, accidents, congestion and the emission of noise and air pollutants. The studies of Grosso (2011) and Fries</w:t>
      </w:r>
      <w:r w:rsidR="00C7078D" w:rsidRPr="00723135">
        <w:rPr>
          <w:lang w:val="en-US"/>
        </w:rPr>
        <w:t xml:space="preserve"> and </w:t>
      </w:r>
      <w:proofErr w:type="spellStart"/>
      <w:r w:rsidR="00C7078D" w:rsidRPr="00723135">
        <w:rPr>
          <w:lang w:val="en-US"/>
        </w:rPr>
        <w:t>Hellweg</w:t>
      </w:r>
      <w:proofErr w:type="spellEnd"/>
      <w:r w:rsidRPr="00723135">
        <w:rPr>
          <w:lang w:val="en-US"/>
        </w:rPr>
        <w:t xml:space="preserve"> (2014) show that the marginal external cost of rail transport is considerably lower compared to that of road transport, making it a sustainable mode of transport. This is especially the case when </w:t>
      </w:r>
      <w:r w:rsidR="00C54B84">
        <w:rPr>
          <w:lang w:val="en-US"/>
        </w:rPr>
        <w:t xml:space="preserve">an </w:t>
      </w:r>
      <w:r w:rsidRPr="00723135">
        <w:rPr>
          <w:lang w:val="en-US"/>
        </w:rPr>
        <w:t xml:space="preserve">electrified railway is used and when rail transport is executed </w:t>
      </w:r>
      <w:r w:rsidR="004C0E0C">
        <w:rPr>
          <w:lang w:val="en-US"/>
        </w:rPr>
        <w:t>over</w:t>
      </w:r>
      <w:r w:rsidRPr="00723135">
        <w:rPr>
          <w:lang w:val="en-US"/>
        </w:rPr>
        <w:t xml:space="preserve"> long-haul distances (</w:t>
      </w:r>
      <w:proofErr w:type="spellStart"/>
      <w:r w:rsidRPr="00723135">
        <w:rPr>
          <w:lang w:val="en-US"/>
        </w:rPr>
        <w:t>Spielmann</w:t>
      </w:r>
      <w:proofErr w:type="spellEnd"/>
      <w:r w:rsidR="00C7078D" w:rsidRPr="00723135">
        <w:rPr>
          <w:lang w:val="en-US"/>
        </w:rPr>
        <w:t xml:space="preserve"> and </w:t>
      </w:r>
      <w:proofErr w:type="spellStart"/>
      <w:r w:rsidR="00C7078D" w:rsidRPr="00723135">
        <w:rPr>
          <w:lang w:val="en-US"/>
        </w:rPr>
        <w:t>Scholz</w:t>
      </w:r>
      <w:proofErr w:type="spellEnd"/>
      <w:r w:rsidR="004C0E0C">
        <w:rPr>
          <w:lang w:val="en-US"/>
        </w:rPr>
        <w:t>, 2005;</w:t>
      </w:r>
      <w:r w:rsidRPr="00723135">
        <w:rPr>
          <w:lang w:val="en-US"/>
        </w:rPr>
        <w:t xml:space="preserve"> </w:t>
      </w:r>
      <w:proofErr w:type="spellStart"/>
      <w:r w:rsidRPr="00723135">
        <w:rPr>
          <w:lang w:val="en-US"/>
        </w:rPr>
        <w:t>Kreutzeberger</w:t>
      </w:r>
      <w:proofErr w:type="spellEnd"/>
      <w:r w:rsidR="00C7078D" w:rsidRPr="00723135">
        <w:rPr>
          <w:lang w:val="en-US"/>
        </w:rPr>
        <w:t xml:space="preserve"> et al.</w:t>
      </w:r>
      <w:r w:rsidRPr="00723135">
        <w:rPr>
          <w:lang w:val="en-US"/>
        </w:rPr>
        <w:t xml:space="preserve">, 2003). This strength is evaluated with a high impact and a high likelihood of happening, </w:t>
      </w:r>
      <w:r w:rsidR="004C0E0C">
        <w:rPr>
          <w:lang w:val="en-US"/>
        </w:rPr>
        <w:t>accompanied by</w:t>
      </w:r>
      <w:r w:rsidRPr="00723135">
        <w:rPr>
          <w:lang w:val="en-US"/>
        </w:rPr>
        <w:t xml:space="preserve"> a respective relative H-index of 43.2% and 9.69%.</w:t>
      </w:r>
    </w:p>
    <w:p w:rsidR="007A743C" w:rsidRPr="00723135" w:rsidRDefault="007A743C" w:rsidP="007A743C">
      <w:pPr>
        <w:jc w:val="both"/>
        <w:rPr>
          <w:lang w:val="en-US"/>
        </w:rPr>
      </w:pPr>
    </w:p>
    <w:p w:rsidR="007A743C" w:rsidRPr="00723135" w:rsidRDefault="007A743C" w:rsidP="00892862">
      <w:pPr>
        <w:jc w:val="both"/>
        <w:rPr>
          <w:lang w:val="en-US"/>
        </w:rPr>
      </w:pPr>
      <w:r w:rsidRPr="00723135">
        <w:rPr>
          <w:b/>
          <w:lang w:val="en-US"/>
        </w:rPr>
        <w:t>Relation with GDP</w:t>
      </w:r>
      <w:r w:rsidRPr="00723135">
        <w:rPr>
          <w:lang w:val="en-US"/>
        </w:rPr>
        <w:tab/>
      </w:r>
      <w:r w:rsidR="00723135">
        <w:rPr>
          <w:lang w:val="en-US"/>
        </w:rPr>
        <w:tab/>
      </w:r>
      <w:proofErr w:type="gramStart"/>
      <w:r w:rsidRPr="00723135">
        <w:rPr>
          <w:lang w:val="en-US"/>
        </w:rPr>
        <w:t>The</w:t>
      </w:r>
      <w:proofErr w:type="gramEnd"/>
      <w:r w:rsidRPr="00723135">
        <w:rPr>
          <w:lang w:val="en-US"/>
        </w:rPr>
        <w:t xml:space="preserve"> correlation between the Gross Domestic Product (GDP) and logistics works in both ways. On the one side, an increase in logistic activities will impact the growth of GDP. Depending on the source consulted, the global logistics industry is contributing by 14% to the world's GDP. At European and Belgian level, the logistic</w:t>
      </w:r>
      <w:r w:rsidR="004C0E0C">
        <w:rPr>
          <w:lang w:val="en-US"/>
        </w:rPr>
        <w:t>s sector is representing 5 to 8</w:t>
      </w:r>
      <w:r w:rsidRPr="00723135">
        <w:rPr>
          <w:lang w:val="en-US"/>
        </w:rPr>
        <w:t xml:space="preserve">% of the corresponding GDP </w:t>
      </w:r>
      <w:r w:rsidR="00892862" w:rsidRPr="00723135">
        <w:rPr>
          <w:lang w:val="en-US"/>
        </w:rPr>
        <w:t>(</w:t>
      </w:r>
      <w:r w:rsidR="00C7078D" w:rsidRPr="00723135">
        <w:rPr>
          <w:lang w:val="en-US"/>
        </w:rPr>
        <w:t>Flanders Logistics, 2006;</w:t>
      </w:r>
      <w:r w:rsidR="00892862" w:rsidRPr="00723135">
        <w:rPr>
          <w:lang w:val="en-US"/>
        </w:rPr>
        <w:t xml:space="preserve"> </w:t>
      </w:r>
      <w:r w:rsidR="00C7078D" w:rsidRPr="00723135">
        <w:rPr>
          <w:lang w:val="en-US"/>
        </w:rPr>
        <w:t>European Commission, 2006</w:t>
      </w:r>
      <w:r w:rsidR="00892862" w:rsidRPr="00723135">
        <w:rPr>
          <w:lang w:val="en-US"/>
        </w:rPr>
        <w:t>)</w:t>
      </w:r>
      <w:r w:rsidRPr="00723135">
        <w:rPr>
          <w:lang w:val="en-US"/>
        </w:rPr>
        <w:t xml:space="preserve">. On the other side, following the trend of increasing globalization, a change in GDP also affects the demand for mobility and as such the logistics industry performance. </w:t>
      </w:r>
      <w:r w:rsidR="00892862" w:rsidRPr="00723135">
        <w:rPr>
          <w:lang w:val="en-US"/>
        </w:rPr>
        <w:t>Although this strength has been identified with a moderate impact and likelihood of happening, it is still identified as a crucial point</w:t>
      </w:r>
      <w:r w:rsidR="004C0E0C">
        <w:rPr>
          <w:lang w:val="en-US"/>
        </w:rPr>
        <w:t xml:space="preserve"> to take into account when developing scenarios for future developments on intermodal rail freight transport, mainly due to the importance of the relation between transport volumes and economic growth.</w:t>
      </w:r>
    </w:p>
    <w:p w:rsidR="007A743C" w:rsidRPr="00723135" w:rsidRDefault="007A743C" w:rsidP="007A743C">
      <w:pPr>
        <w:jc w:val="both"/>
        <w:rPr>
          <w:lang w:val="en-US"/>
        </w:rPr>
      </w:pPr>
    </w:p>
    <w:p w:rsidR="007A743C" w:rsidRPr="00723135" w:rsidRDefault="007A743C" w:rsidP="007A743C">
      <w:pPr>
        <w:jc w:val="both"/>
        <w:rPr>
          <w:lang w:val="en-US"/>
        </w:rPr>
      </w:pPr>
      <w:r w:rsidRPr="00723135">
        <w:rPr>
          <w:b/>
          <w:lang w:val="en-US"/>
        </w:rPr>
        <w:lastRenderedPageBreak/>
        <w:t>A better modal split</w:t>
      </w:r>
      <w:r w:rsidRPr="00723135">
        <w:rPr>
          <w:lang w:val="en-US"/>
        </w:rPr>
        <w:tab/>
      </w:r>
      <w:r w:rsidRPr="00723135">
        <w:rPr>
          <w:lang w:val="en-US"/>
        </w:rPr>
        <w:tab/>
        <w:t xml:space="preserve">Translating the goals of the White Paper </w:t>
      </w:r>
      <w:r w:rsidR="00892862" w:rsidRPr="00723135">
        <w:rPr>
          <w:lang w:val="en-US"/>
        </w:rPr>
        <w:t>(</w:t>
      </w:r>
      <w:r w:rsidRPr="00723135">
        <w:rPr>
          <w:lang w:val="en-US"/>
        </w:rPr>
        <w:t>E</w:t>
      </w:r>
      <w:r w:rsidR="00892862" w:rsidRPr="00723135">
        <w:rPr>
          <w:lang w:val="en-US"/>
        </w:rPr>
        <w:t xml:space="preserve">uropean </w:t>
      </w:r>
      <w:r w:rsidRPr="00723135">
        <w:rPr>
          <w:lang w:val="en-US"/>
        </w:rPr>
        <w:t>C</w:t>
      </w:r>
      <w:r w:rsidR="00892862" w:rsidRPr="00723135">
        <w:rPr>
          <w:lang w:val="en-US"/>
        </w:rPr>
        <w:t>ommission, 2011)</w:t>
      </w:r>
      <w:r w:rsidRPr="00723135">
        <w:rPr>
          <w:lang w:val="en-US"/>
        </w:rPr>
        <w:t>, the reduction of r</w:t>
      </w:r>
      <w:r w:rsidR="00892862" w:rsidRPr="00723135">
        <w:rPr>
          <w:lang w:val="en-US"/>
        </w:rPr>
        <w:t>oad transport over 300 km by 30</w:t>
      </w:r>
      <w:r w:rsidRPr="00723135">
        <w:rPr>
          <w:lang w:val="en-US"/>
        </w:rPr>
        <w:t>% will lead to a decrease in the share of road transport, measu</w:t>
      </w:r>
      <w:r w:rsidR="00892862" w:rsidRPr="00723135">
        <w:rPr>
          <w:lang w:val="en-US"/>
        </w:rPr>
        <w:t>red in tkm, from the current 75% to 52</w:t>
      </w:r>
      <w:r w:rsidRPr="00723135">
        <w:rPr>
          <w:lang w:val="en-US"/>
        </w:rPr>
        <w:t xml:space="preserve">%. </w:t>
      </w:r>
      <w:r w:rsidR="00C54B84">
        <w:rPr>
          <w:lang w:val="en-US"/>
        </w:rPr>
        <w:t>At</w:t>
      </w:r>
      <w:r w:rsidRPr="00723135">
        <w:rPr>
          <w:lang w:val="en-US"/>
        </w:rPr>
        <w:t xml:space="preserve"> European level</w:t>
      </w:r>
      <w:r w:rsidR="00C54B84">
        <w:rPr>
          <w:lang w:val="en-US"/>
        </w:rPr>
        <w:t>,</w:t>
      </w:r>
      <w:r w:rsidRPr="00723135">
        <w:rPr>
          <w:lang w:val="en-US"/>
        </w:rPr>
        <w:t xml:space="preserve"> this will result in an inc</w:t>
      </w:r>
      <w:r w:rsidR="00892862" w:rsidRPr="00723135">
        <w:rPr>
          <w:lang w:val="en-US"/>
        </w:rPr>
        <w:t xml:space="preserve">rease of </w:t>
      </w:r>
      <w:r w:rsidR="00C54B84">
        <w:rPr>
          <w:lang w:val="en-US"/>
        </w:rPr>
        <w:t xml:space="preserve">the </w:t>
      </w:r>
      <w:r w:rsidR="00892862" w:rsidRPr="00723135">
        <w:rPr>
          <w:lang w:val="en-US"/>
        </w:rPr>
        <w:t xml:space="preserve">rail </w:t>
      </w:r>
      <w:r w:rsidR="00C54B84">
        <w:rPr>
          <w:lang w:val="en-US"/>
        </w:rPr>
        <w:t>share</w:t>
      </w:r>
      <w:r w:rsidR="00892862" w:rsidRPr="00723135">
        <w:rPr>
          <w:lang w:val="en-US"/>
        </w:rPr>
        <w:t xml:space="preserve"> from 21% to 39</w:t>
      </w:r>
      <w:r w:rsidRPr="00723135">
        <w:rPr>
          <w:lang w:val="en-US"/>
        </w:rPr>
        <w:t>%, and an increase of</w:t>
      </w:r>
      <w:r w:rsidR="00C54B84">
        <w:rPr>
          <w:lang w:val="en-US"/>
        </w:rPr>
        <w:t xml:space="preserve"> the</w:t>
      </w:r>
      <w:r w:rsidRPr="00723135">
        <w:rPr>
          <w:lang w:val="en-US"/>
        </w:rPr>
        <w:t xml:space="preserve"> inland navigation </w:t>
      </w:r>
      <w:r w:rsidR="00C54B84">
        <w:rPr>
          <w:lang w:val="en-US"/>
        </w:rPr>
        <w:t xml:space="preserve">share </w:t>
      </w:r>
      <w:r w:rsidR="00892862" w:rsidRPr="00723135">
        <w:rPr>
          <w:lang w:val="en-US"/>
        </w:rPr>
        <w:t>from 4% to 8</w:t>
      </w:r>
      <w:r w:rsidRPr="00723135">
        <w:rPr>
          <w:lang w:val="en-US"/>
        </w:rPr>
        <w:t>%, when the shifted volumes are spread equally over both modes of transport</w:t>
      </w:r>
      <w:r w:rsidR="00C7078D" w:rsidRPr="00723135">
        <w:rPr>
          <w:lang w:val="en-US"/>
        </w:rPr>
        <w:t xml:space="preserve"> (</w:t>
      </w:r>
      <w:proofErr w:type="spellStart"/>
      <w:r w:rsidR="00C7078D" w:rsidRPr="00723135">
        <w:rPr>
          <w:lang w:val="en-US"/>
        </w:rPr>
        <w:t>Tavasszy</w:t>
      </w:r>
      <w:proofErr w:type="spellEnd"/>
      <w:r w:rsidR="00C7078D" w:rsidRPr="00723135">
        <w:rPr>
          <w:lang w:val="en-US"/>
        </w:rPr>
        <w:t xml:space="preserve"> and Van </w:t>
      </w:r>
      <w:proofErr w:type="spellStart"/>
      <w:r w:rsidR="00C7078D" w:rsidRPr="00723135">
        <w:rPr>
          <w:lang w:val="en-US"/>
        </w:rPr>
        <w:t>Meijeren</w:t>
      </w:r>
      <w:proofErr w:type="spellEnd"/>
      <w:r w:rsidR="00C7078D" w:rsidRPr="00723135">
        <w:rPr>
          <w:lang w:val="en-US"/>
        </w:rPr>
        <w:t>, 2011)</w:t>
      </w:r>
      <w:r w:rsidRPr="00723135">
        <w:rPr>
          <w:lang w:val="en-US"/>
        </w:rPr>
        <w:t xml:space="preserve">. In Belgium, the modal share for inland waterways will be higher, due to the unique geographical position with the presence of several waterways </w:t>
      </w:r>
      <w:r w:rsidR="00892862" w:rsidRPr="00723135">
        <w:rPr>
          <w:lang w:val="en-US"/>
        </w:rPr>
        <w:t>(Crozet</w:t>
      </w:r>
      <w:r w:rsidR="00C7078D" w:rsidRPr="00723135">
        <w:rPr>
          <w:lang w:val="en-US"/>
        </w:rPr>
        <w:t xml:space="preserve"> et al., </w:t>
      </w:r>
      <w:r w:rsidR="00892862" w:rsidRPr="00723135">
        <w:rPr>
          <w:lang w:val="en-US"/>
        </w:rPr>
        <w:t>2014)</w:t>
      </w:r>
      <w:r w:rsidRPr="00723135">
        <w:rPr>
          <w:lang w:val="en-US"/>
        </w:rPr>
        <w:t>.</w:t>
      </w:r>
      <w:r w:rsidR="00892862" w:rsidRPr="00723135">
        <w:rPr>
          <w:lang w:val="en-US"/>
        </w:rPr>
        <w:t xml:space="preserve"> In the output of the survey, this element has also been rated high impact and a corresponding relative H-index of 16.57%. This correlates with a rather high level of agreement, as 7 out of 14 respondents indicate a high impact, 5 out of 14 respondents indicate a </w:t>
      </w:r>
      <w:r w:rsidR="004C0E0C">
        <w:rPr>
          <w:lang w:val="en-US"/>
        </w:rPr>
        <w:t>moderate</w:t>
      </w:r>
      <w:r w:rsidR="00892862" w:rsidRPr="00723135">
        <w:rPr>
          <w:lang w:val="en-US"/>
        </w:rPr>
        <w:t xml:space="preserve"> impact and only 2 respondents indicate a low impact.</w:t>
      </w:r>
    </w:p>
    <w:p w:rsidR="007A743C" w:rsidRPr="00723135" w:rsidRDefault="007A743C" w:rsidP="007A743C">
      <w:pPr>
        <w:jc w:val="both"/>
        <w:rPr>
          <w:lang w:val="en-US"/>
        </w:rPr>
      </w:pPr>
    </w:p>
    <w:p w:rsidR="007A743C" w:rsidRPr="00723135" w:rsidRDefault="007A743C" w:rsidP="007A743C">
      <w:pPr>
        <w:jc w:val="both"/>
        <w:rPr>
          <w:lang w:val="en-US"/>
        </w:rPr>
      </w:pPr>
      <w:r w:rsidRPr="00723135">
        <w:rPr>
          <w:b/>
          <w:lang w:val="en-US"/>
        </w:rPr>
        <w:t>Liberalization</w:t>
      </w:r>
      <w:r w:rsidRPr="00723135">
        <w:rPr>
          <w:lang w:val="en-US"/>
        </w:rPr>
        <w:tab/>
        <w:t>The goal of liberalization is to stimulate cross-border competition, as each European railway company with the needed licenses and safety certifications can apply for capacity on each national and international freight service desired. As seen with the liberalization of the road freight, this process could bring increased competition and as such render the industry more efficient and attractive, as service-levels te</w:t>
      </w:r>
      <w:r w:rsidR="00892862" w:rsidRPr="00723135">
        <w:rPr>
          <w:lang w:val="en-US"/>
        </w:rPr>
        <w:t>nd to increase in the long-run (</w:t>
      </w:r>
      <w:proofErr w:type="spellStart"/>
      <w:r w:rsidR="00892862" w:rsidRPr="00723135">
        <w:rPr>
          <w:lang w:val="en-US"/>
        </w:rPr>
        <w:t>Paardenkoper</w:t>
      </w:r>
      <w:proofErr w:type="spellEnd"/>
      <w:r w:rsidR="00C7078D" w:rsidRPr="00723135">
        <w:rPr>
          <w:lang w:val="en-US"/>
        </w:rPr>
        <w:t xml:space="preserve">, </w:t>
      </w:r>
      <w:r w:rsidR="00892862" w:rsidRPr="00723135">
        <w:rPr>
          <w:lang w:val="en-US"/>
        </w:rPr>
        <w:t>2009)</w:t>
      </w:r>
      <w:r w:rsidRPr="00723135">
        <w:rPr>
          <w:lang w:val="en-US"/>
        </w:rPr>
        <w:t>. A</w:t>
      </w:r>
      <w:r w:rsidR="00C7078D" w:rsidRPr="00723135">
        <w:rPr>
          <w:lang w:val="en-US"/>
        </w:rPr>
        <w:t>ccording to the figures of the European Commission (</w:t>
      </w:r>
      <w:proofErr w:type="spellStart"/>
      <w:r w:rsidR="00C7078D" w:rsidRPr="00723135">
        <w:rPr>
          <w:lang w:val="en-US"/>
        </w:rPr>
        <w:t>2014</w:t>
      </w:r>
      <w:r w:rsidR="00646A3E" w:rsidRPr="00723135">
        <w:rPr>
          <w:lang w:val="en-US"/>
        </w:rPr>
        <w:t>a</w:t>
      </w:r>
      <w:proofErr w:type="spellEnd"/>
      <w:r w:rsidR="00C7078D" w:rsidRPr="00723135">
        <w:rPr>
          <w:lang w:val="en-US"/>
        </w:rPr>
        <w:t>)</w:t>
      </w:r>
      <w:r w:rsidRPr="00723135">
        <w:rPr>
          <w:lang w:val="en-US"/>
        </w:rPr>
        <w:t>, non-principal undertakings in Belgium obtained a con</w:t>
      </w:r>
      <w:r w:rsidR="00892862" w:rsidRPr="00723135">
        <w:rPr>
          <w:lang w:val="en-US"/>
        </w:rPr>
        <w:t>siderable market share of 13.39</w:t>
      </w:r>
      <w:r w:rsidRPr="00723135">
        <w:rPr>
          <w:lang w:val="en-US"/>
        </w:rPr>
        <w:t>% in 2012.</w:t>
      </w:r>
      <w:r w:rsidR="00892862" w:rsidRPr="00723135">
        <w:rPr>
          <w:lang w:val="en-US"/>
        </w:rPr>
        <w:t xml:space="preserve"> </w:t>
      </w:r>
      <w:r w:rsidRPr="00723135">
        <w:rPr>
          <w:lang w:val="en-US"/>
        </w:rPr>
        <w:t>Nevertheless, Belgium is still scoring average in terms of the Rail Liberalization I</w:t>
      </w:r>
      <w:r w:rsidR="00892862" w:rsidRPr="00723135">
        <w:rPr>
          <w:lang w:val="en-US"/>
        </w:rPr>
        <w:t>ndex (Crozet</w:t>
      </w:r>
      <w:r w:rsidR="00C7078D" w:rsidRPr="00723135">
        <w:rPr>
          <w:lang w:val="en-US"/>
        </w:rPr>
        <w:t xml:space="preserve"> et al., </w:t>
      </w:r>
      <w:r w:rsidR="00892862" w:rsidRPr="00723135">
        <w:rPr>
          <w:lang w:val="en-US"/>
        </w:rPr>
        <w:t>2014). According to the survey respondents, the market liberalization will have a high influence on rail transport development, indicated by a positive modus with a relative homogeneity of 34.18%. Nevertheless</w:t>
      </w:r>
      <w:r w:rsidR="004C0E0C">
        <w:rPr>
          <w:lang w:val="en-US"/>
        </w:rPr>
        <w:t>,</w:t>
      </w:r>
      <w:r w:rsidR="00892862" w:rsidRPr="00723135">
        <w:rPr>
          <w:lang w:val="en-US"/>
        </w:rPr>
        <w:t xml:space="preserve"> it is not certain that liberalization will come to its full extent, as the survey indicates a high level of disagreement in terms of likelihood of happening with a relative H-index of only 3.57%.</w:t>
      </w:r>
    </w:p>
    <w:p w:rsidR="007A743C" w:rsidRPr="00723135" w:rsidRDefault="007A743C" w:rsidP="007A743C">
      <w:pPr>
        <w:jc w:val="both"/>
        <w:rPr>
          <w:b/>
          <w:bCs/>
          <w:lang w:val="en-US"/>
        </w:rPr>
      </w:pPr>
    </w:p>
    <w:p w:rsidR="007758D5" w:rsidRPr="00723135" w:rsidRDefault="007758D5" w:rsidP="00B60466">
      <w:pPr>
        <w:numPr>
          <w:ilvl w:val="1"/>
          <w:numId w:val="1"/>
        </w:numPr>
        <w:ind w:left="284" w:firstLine="0"/>
        <w:jc w:val="both"/>
        <w:rPr>
          <w:b/>
          <w:bCs/>
          <w:lang w:val="en-US"/>
        </w:rPr>
      </w:pPr>
      <w:r w:rsidRPr="00723135">
        <w:rPr>
          <w:b/>
          <w:bCs/>
          <w:lang w:val="en-US"/>
        </w:rPr>
        <w:t>Weaknesses</w:t>
      </w:r>
    </w:p>
    <w:p w:rsidR="00892862" w:rsidRPr="00723135" w:rsidRDefault="00892862" w:rsidP="00892862">
      <w:pPr>
        <w:jc w:val="both"/>
        <w:rPr>
          <w:lang w:val="en-US"/>
        </w:rPr>
      </w:pPr>
      <w:r w:rsidRPr="00723135">
        <w:rPr>
          <w:lang w:val="en-US"/>
        </w:rPr>
        <w:t xml:space="preserve">In terms of weaknesses, </w:t>
      </w:r>
      <w:r w:rsidR="00915F8F">
        <w:rPr>
          <w:lang w:val="en-US"/>
        </w:rPr>
        <w:t>17</w:t>
      </w:r>
      <w:r w:rsidRPr="00723135">
        <w:rPr>
          <w:lang w:val="en-US"/>
        </w:rPr>
        <w:t xml:space="preserve"> elements are taken into account as input in the survey. Analyzing the frequency table for these weaknesses, a less diverse pattern is noted. No weaknesses have been identified as unlikely to happen, and only one element has an estimated low impact, being the fact that freight transportation is a new field of knowledge in the </w:t>
      </w:r>
      <w:proofErr w:type="spellStart"/>
      <w:r w:rsidRPr="00723135">
        <w:rPr>
          <w:lang w:val="en-US"/>
        </w:rPr>
        <w:t>LCA</w:t>
      </w:r>
      <w:proofErr w:type="spellEnd"/>
      <w:r w:rsidRPr="00723135">
        <w:rPr>
          <w:lang w:val="en-US"/>
        </w:rPr>
        <w:t xml:space="preserve"> methodology. By sorting the strengths on the modus, and next on the relative H-index, a ranking can be obtained. By doing so, </w:t>
      </w:r>
      <w:r w:rsidR="004C0E0C">
        <w:rPr>
          <w:lang w:val="en-US"/>
        </w:rPr>
        <w:t>attention</w:t>
      </w:r>
      <w:r w:rsidRPr="00723135">
        <w:rPr>
          <w:lang w:val="en-US"/>
        </w:rPr>
        <w:t xml:space="preserve"> </w:t>
      </w:r>
      <w:r w:rsidR="004C0E0C">
        <w:rPr>
          <w:lang w:val="en-US"/>
        </w:rPr>
        <w:t>is to</w:t>
      </w:r>
      <w:r w:rsidRPr="00723135">
        <w:rPr>
          <w:lang w:val="en-US"/>
        </w:rPr>
        <w:t xml:space="preserve"> be given to </w:t>
      </w:r>
      <w:r w:rsidR="008D56B9" w:rsidRPr="00723135">
        <w:rPr>
          <w:lang w:val="en-US"/>
        </w:rPr>
        <w:t>five</w:t>
      </w:r>
      <w:r w:rsidRPr="00723135">
        <w:rPr>
          <w:lang w:val="en-US"/>
        </w:rPr>
        <w:t xml:space="preserve"> weaknesses.</w:t>
      </w:r>
    </w:p>
    <w:p w:rsidR="00C7078D" w:rsidRPr="00723135" w:rsidRDefault="00C7078D" w:rsidP="00892862">
      <w:pPr>
        <w:jc w:val="both"/>
        <w:rPr>
          <w:lang w:val="en-US"/>
        </w:rPr>
      </w:pPr>
    </w:p>
    <w:p w:rsidR="00C7078D" w:rsidRPr="00723135" w:rsidRDefault="00C7078D" w:rsidP="00892862">
      <w:pPr>
        <w:jc w:val="both"/>
        <w:rPr>
          <w:lang w:val="en-US"/>
        </w:rPr>
      </w:pPr>
      <w:r w:rsidRPr="00723135">
        <w:rPr>
          <w:b/>
          <w:lang w:val="en-US"/>
        </w:rPr>
        <w:t>High operating costs</w:t>
      </w:r>
      <w:r w:rsidRPr="00723135">
        <w:rPr>
          <w:lang w:val="en-US"/>
        </w:rPr>
        <w:tab/>
      </w:r>
      <w:r w:rsidRPr="00723135">
        <w:rPr>
          <w:lang w:val="en-US"/>
        </w:rPr>
        <w:tab/>
        <w:t xml:space="preserve">According to </w:t>
      </w:r>
      <w:proofErr w:type="spellStart"/>
      <w:r w:rsidRPr="00723135">
        <w:rPr>
          <w:lang w:val="en-US"/>
        </w:rPr>
        <w:t>Janic</w:t>
      </w:r>
      <w:proofErr w:type="spellEnd"/>
      <w:r w:rsidRPr="00723135">
        <w:rPr>
          <w:lang w:val="en-US"/>
        </w:rPr>
        <w:t xml:space="preserve"> (2007), operating costs incorporate the costs of moving units between shippers and receivers through the stages of collection, distribution, line hauling and </w:t>
      </w:r>
      <w:proofErr w:type="spellStart"/>
      <w:r w:rsidRPr="00723135">
        <w:rPr>
          <w:lang w:val="en-US"/>
        </w:rPr>
        <w:t>transhipment</w:t>
      </w:r>
      <w:proofErr w:type="spellEnd"/>
      <w:r w:rsidRPr="00723135">
        <w:rPr>
          <w:lang w:val="en-US"/>
        </w:rPr>
        <w:t>. Drayage operations, in particular, contribute by 25 to 40% to the total origin-to-destination expenses (</w:t>
      </w:r>
      <w:proofErr w:type="spellStart"/>
      <w:r w:rsidRPr="00723135">
        <w:rPr>
          <w:lang w:val="en-US"/>
        </w:rPr>
        <w:t>Macharis</w:t>
      </w:r>
      <w:proofErr w:type="spellEnd"/>
      <w:r w:rsidRPr="00723135">
        <w:rPr>
          <w:lang w:val="en-US"/>
        </w:rPr>
        <w:t xml:space="preserve"> and </w:t>
      </w:r>
      <w:proofErr w:type="spellStart"/>
      <w:r w:rsidRPr="00723135">
        <w:rPr>
          <w:lang w:val="en-US"/>
        </w:rPr>
        <w:t>Bontekoning</w:t>
      </w:r>
      <w:proofErr w:type="spellEnd"/>
      <w:r w:rsidRPr="00723135">
        <w:rPr>
          <w:lang w:val="en-US"/>
        </w:rPr>
        <w:t>, 2004). This element is ranked with a high impact (positive modus) and a high level of agreement, indicated by a relative H-index of 36.10%. There is a low level of uncertainty for this element, as the likelihood of happening is high according to the respondents, with an H-index of 28.99%.</w:t>
      </w:r>
    </w:p>
    <w:p w:rsidR="00C7078D" w:rsidRPr="00723135" w:rsidRDefault="00C7078D" w:rsidP="00892862">
      <w:pPr>
        <w:jc w:val="both"/>
        <w:rPr>
          <w:lang w:val="en-US"/>
        </w:rPr>
      </w:pPr>
    </w:p>
    <w:p w:rsidR="00C7078D" w:rsidRPr="00723135" w:rsidRDefault="00C7078D" w:rsidP="00892862">
      <w:pPr>
        <w:jc w:val="both"/>
        <w:rPr>
          <w:lang w:val="en-US"/>
        </w:rPr>
      </w:pPr>
      <w:r w:rsidRPr="00723135">
        <w:rPr>
          <w:b/>
          <w:lang w:val="en-US"/>
        </w:rPr>
        <w:t>Complex pricing strategies</w:t>
      </w:r>
      <w:r w:rsidRPr="00723135">
        <w:rPr>
          <w:lang w:val="en-US"/>
        </w:rPr>
        <w:tab/>
      </w:r>
      <w:r w:rsidRPr="00723135">
        <w:rPr>
          <w:lang w:val="en-US"/>
        </w:rPr>
        <w:tab/>
      </w:r>
      <w:proofErr w:type="gramStart"/>
      <w:r w:rsidRPr="00723135">
        <w:rPr>
          <w:lang w:val="en-US"/>
        </w:rPr>
        <w:t>Striking</w:t>
      </w:r>
      <w:proofErr w:type="gramEnd"/>
      <w:r w:rsidRPr="00723135">
        <w:rPr>
          <w:lang w:val="en-US"/>
        </w:rPr>
        <w:t xml:space="preserve"> the balance between competitiveness and profitability through pricing decisions is a complex process, </w:t>
      </w:r>
      <w:r w:rsidR="00915F8F">
        <w:rPr>
          <w:lang w:val="en-US"/>
        </w:rPr>
        <w:t>requesting an accurate cost</w:t>
      </w:r>
      <w:r w:rsidRPr="00723135">
        <w:rPr>
          <w:lang w:val="en-US"/>
        </w:rPr>
        <w:t xml:space="preserve"> estimation and a clear insight of the market situation. </w:t>
      </w:r>
      <w:proofErr w:type="spellStart"/>
      <w:r w:rsidRPr="00723135">
        <w:rPr>
          <w:lang w:val="en-US"/>
        </w:rPr>
        <w:t>Bontekoning</w:t>
      </w:r>
      <w:proofErr w:type="spellEnd"/>
      <w:r w:rsidRPr="00723135">
        <w:rPr>
          <w:lang w:val="en-US"/>
        </w:rPr>
        <w:t xml:space="preserve"> et</w:t>
      </w:r>
      <w:r w:rsidR="00915F8F">
        <w:rPr>
          <w:lang w:val="en-US"/>
        </w:rPr>
        <w:t xml:space="preserve"> al. (2004) identify two levels</w:t>
      </w:r>
      <w:r w:rsidRPr="00723135">
        <w:rPr>
          <w:lang w:val="en-US"/>
        </w:rPr>
        <w:t xml:space="preserve"> at which an intermodal pricing strategy operates: the individual actors (drayage and main haul operators), and the whole door-to-door chain level. This element has a high impact and likelihood, with a corresponding </w:t>
      </w:r>
      <w:r w:rsidR="004F5DBD">
        <w:rPr>
          <w:lang w:val="en-US"/>
        </w:rPr>
        <w:t>homogeneity</w:t>
      </w:r>
      <w:r w:rsidRPr="00723135">
        <w:rPr>
          <w:lang w:val="en-US"/>
        </w:rPr>
        <w:t xml:space="preserve"> of respectively 28.99% and 16.57%.</w:t>
      </w:r>
    </w:p>
    <w:p w:rsidR="00C7078D" w:rsidRPr="00723135" w:rsidRDefault="00C7078D" w:rsidP="00892862">
      <w:pPr>
        <w:jc w:val="both"/>
        <w:rPr>
          <w:lang w:val="en-US"/>
        </w:rPr>
      </w:pPr>
    </w:p>
    <w:p w:rsidR="00C7078D" w:rsidRPr="00723135" w:rsidRDefault="00C7078D" w:rsidP="00892862">
      <w:pPr>
        <w:jc w:val="both"/>
        <w:rPr>
          <w:lang w:val="en-US"/>
        </w:rPr>
      </w:pPr>
      <w:r w:rsidRPr="00723135">
        <w:rPr>
          <w:b/>
          <w:lang w:val="en-US"/>
        </w:rPr>
        <w:t>Missing links</w:t>
      </w:r>
      <w:r w:rsidRPr="00723135">
        <w:rPr>
          <w:lang w:val="en-US"/>
        </w:rPr>
        <w:tab/>
      </w:r>
      <w:r w:rsidRPr="00723135">
        <w:rPr>
          <w:lang w:val="en-US"/>
        </w:rPr>
        <w:tab/>
        <w:t>Most gateway</w:t>
      </w:r>
      <w:r w:rsidR="00915F8F">
        <w:rPr>
          <w:lang w:val="en-US"/>
        </w:rPr>
        <w:t>s</w:t>
      </w:r>
      <w:r w:rsidRPr="00723135">
        <w:rPr>
          <w:lang w:val="en-US"/>
        </w:rPr>
        <w:t xml:space="preserve"> and corridor infrastructure currently in place could not handle a 50% increase, let alone a possible doubling or tripling of </w:t>
      </w:r>
      <w:r w:rsidR="00915F8F">
        <w:rPr>
          <w:lang w:val="en-US"/>
        </w:rPr>
        <w:t xml:space="preserve">volumes of </w:t>
      </w:r>
      <w:r w:rsidRPr="00723135">
        <w:rPr>
          <w:lang w:val="en-US"/>
        </w:rPr>
        <w:t xml:space="preserve">passengers and </w:t>
      </w:r>
      <w:r w:rsidR="00915F8F">
        <w:rPr>
          <w:lang w:val="en-US"/>
        </w:rPr>
        <w:lastRenderedPageBreak/>
        <w:t xml:space="preserve">freight in 20 years from now. Hence, </w:t>
      </w:r>
      <w:r w:rsidRPr="00723135">
        <w:rPr>
          <w:lang w:val="en-US"/>
        </w:rPr>
        <w:t>capacity is to be considered a weakness for intermodal rail transport development (OECD, 2012). This weakness is also indicated with a high influence and a high level of agreement, resulting in a relative H-index of 28.99%.</w:t>
      </w:r>
    </w:p>
    <w:p w:rsidR="004F5DBD" w:rsidRDefault="004F5DBD" w:rsidP="00892862">
      <w:pPr>
        <w:jc w:val="both"/>
        <w:rPr>
          <w:b/>
          <w:lang w:val="en-US"/>
        </w:rPr>
      </w:pPr>
    </w:p>
    <w:p w:rsidR="00C7078D" w:rsidRPr="00723135" w:rsidRDefault="00C7078D" w:rsidP="00892862">
      <w:pPr>
        <w:jc w:val="both"/>
        <w:rPr>
          <w:lang w:val="en-US"/>
        </w:rPr>
      </w:pPr>
      <w:r w:rsidRPr="00723135">
        <w:rPr>
          <w:b/>
          <w:lang w:val="en-US"/>
        </w:rPr>
        <w:t>A lack of flexibility</w:t>
      </w:r>
      <w:r w:rsidRPr="00723135">
        <w:rPr>
          <w:lang w:val="en-US"/>
        </w:rPr>
        <w:tab/>
      </w:r>
      <w:r w:rsidRPr="00723135">
        <w:rPr>
          <w:lang w:val="en-US"/>
        </w:rPr>
        <w:tab/>
        <w:t xml:space="preserve">Rail freight transportation is highly dependent on rail equipment with a long life-cycle and the specific existing infrastructure with connection points to the network. As door-to-door delivery possibilities are therefore limited, the level of flexibility for this mode of transport is much lower compared to road transportation (Grosso, 2011; </w:t>
      </w:r>
      <w:proofErr w:type="spellStart"/>
      <w:r w:rsidRPr="00723135">
        <w:rPr>
          <w:lang w:val="en-US"/>
        </w:rPr>
        <w:t>Vandress</w:t>
      </w:r>
      <w:r w:rsidR="00915F8F">
        <w:rPr>
          <w:lang w:val="en-US"/>
        </w:rPr>
        <w:t>en</w:t>
      </w:r>
      <w:proofErr w:type="spellEnd"/>
      <w:r w:rsidR="00915F8F">
        <w:rPr>
          <w:lang w:val="en-US"/>
        </w:rPr>
        <w:t xml:space="preserve"> et al., 2012). In addition, p</w:t>
      </w:r>
      <w:r w:rsidRPr="00723135">
        <w:rPr>
          <w:lang w:val="en-US"/>
        </w:rPr>
        <w:t xml:space="preserve">assenger traffic and freight transportation share the same network infrastructure, whilst the </w:t>
      </w:r>
      <w:r w:rsidR="00915F8F">
        <w:rPr>
          <w:lang w:val="en-US"/>
        </w:rPr>
        <w:t>former</w:t>
      </w:r>
      <w:r w:rsidRPr="00723135">
        <w:rPr>
          <w:lang w:val="en-US"/>
        </w:rPr>
        <w:t xml:space="preserve"> usually receives priority of freight trains (Crozet et al., 2014). </w:t>
      </w:r>
      <w:r w:rsidR="008D56B9" w:rsidRPr="00723135">
        <w:rPr>
          <w:lang w:val="en-US"/>
        </w:rPr>
        <w:t>All respondents indicated this element as highly influencing the development of intermodal rail transport, resulting in a positive modus and an H-index of 100%. This point has also been stressed m</w:t>
      </w:r>
      <w:r w:rsidR="00C54B84">
        <w:rPr>
          <w:lang w:val="en-US"/>
        </w:rPr>
        <w:t xml:space="preserve">ultiple times during the Delphi </w:t>
      </w:r>
      <w:r w:rsidR="008D56B9" w:rsidRPr="00723135">
        <w:rPr>
          <w:lang w:val="en-US"/>
        </w:rPr>
        <w:t>exercise and the interviews.</w:t>
      </w:r>
    </w:p>
    <w:p w:rsidR="008D56B9" w:rsidRPr="00723135" w:rsidRDefault="008D56B9" w:rsidP="00892862">
      <w:pPr>
        <w:jc w:val="both"/>
        <w:rPr>
          <w:lang w:val="en-US"/>
        </w:rPr>
      </w:pPr>
    </w:p>
    <w:p w:rsidR="00892862" w:rsidRPr="00723135" w:rsidRDefault="00C7078D" w:rsidP="00892862">
      <w:pPr>
        <w:jc w:val="both"/>
        <w:rPr>
          <w:lang w:val="en-US"/>
        </w:rPr>
      </w:pPr>
      <w:r w:rsidRPr="00723135">
        <w:rPr>
          <w:b/>
          <w:lang w:val="en-US"/>
        </w:rPr>
        <w:t>High investments and weak network access</w:t>
      </w:r>
      <w:r w:rsidRPr="00723135">
        <w:rPr>
          <w:b/>
          <w:lang w:val="en-US"/>
        </w:rPr>
        <w:tab/>
      </w:r>
      <w:r w:rsidRPr="00723135">
        <w:rPr>
          <w:lang w:val="en-US"/>
        </w:rPr>
        <w:t>In order to enter the liberalized market of rail freight transportation, high capital expenditures are r</w:t>
      </w:r>
      <w:r w:rsidR="008D56B9" w:rsidRPr="00723135">
        <w:rPr>
          <w:lang w:val="en-US"/>
        </w:rPr>
        <w:t>equired to start up operations (P</w:t>
      </w:r>
      <w:r w:rsidRPr="00723135">
        <w:rPr>
          <w:lang w:val="en-US"/>
        </w:rPr>
        <w:t>ham</w:t>
      </w:r>
      <w:r w:rsidR="008D56B9" w:rsidRPr="00723135">
        <w:rPr>
          <w:lang w:val="en-US"/>
        </w:rPr>
        <w:t xml:space="preserve">, </w:t>
      </w:r>
      <w:r w:rsidRPr="00723135">
        <w:rPr>
          <w:lang w:val="en-US"/>
        </w:rPr>
        <w:t>2013</w:t>
      </w:r>
      <w:r w:rsidR="008D56B9" w:rsidRPr="00723135">
        <w:rPr>
          <w:lang w:val="en-US"/>
        </w:rPr>
        <w:t>)</w:t>
      </w:r>
      <w:r w:rsidRPr="00723135">
        <w:rPr>
          <w:lang w:val="en-US"/>
        </w:rPr>
        <w:t xml:space="preserve">. In addition, network access is much weaker compared to that of road transportation, as this mode is less depending on network infrastructure and benefits from increased flexibility. </w:t>
      </w:r>
      <w:r w:rsidR="008D56B9" w:rsidRPr="00723135">
        <w:rPr>
          <w:lang w:val="en-US"/>
        </w:rPr>
        <w:t>The level of agreement between the respondents is high, both in terms of impact (H-index = 60.95%) and likelihood of happening (H-index = 43.20%).</w:t>
      </w:r>
    </w:p>
    <w:p w:rsidR="00892862" w:rsidRPr="00723135" w:rsidRDefault="00892862" w:rsidP="007A743C">
      <w:pPr>
        <w:ind w:left="284"/>
        <w:jc w:val="both"/>
        <w:rPr>
          <w:b/>
          <w:bCs/>
          <w:lang w:val="en-US"/>
        </w:rPr>
      </w:pPr>
    </w:p>
    <w:p w:rsidR="007758D5" w:rsidRPr="00723135" w:rsidRDefault="007758D5" w:rsidP="00B60466">
      <w:pPr>
        <w:numPr>
          <w:ilvl w:val="1"/>
          <w:numId w:val="1"/>
        </w:numPr>
        <w:ind w:left="284" w:firstLine="0"/>
        <w:jc w:val="both"/>
        <w:rPr>
          <w:b/>
          <w:bCs/>
          <w:lang w:val="en-US"/>
        </w:rPr>
      </w:pPr>
      <w:r w:rsidRPr="00723135">
        <w:rPr>
          <w:b/>
          <w:bCs/>
          <w:lang w:val="en-US"/>
        </w:rPr>
        <w:t>Opportunities</w:t>
      </w:r>
    </w:p>
    <w:p w:rsidR="007A743C" w:rsidRPr="00723135" w:rsidRDefault="008D56B9" w:rsidP="008D56B9">
      <w:pPr>
        <w:jc w:val="both"/>
        <w:rPr>
          <w:lang w:val="en-US"/>
        </w:rPr>
      </w:pPr>
      <w:r w:rsidRPr="00723135">
        <w:rPr>
          <w:lang w:val="en-US"/>
        </w:rPr>
        <w:t xml:space="preserve">Out of the </w:t>
      </w:r>
      <w:r w:rsidR="00915F8F">
        <w:rPr>
          <w:lang w:val="en-US"/>
        </w:rPr>
        <w:t>17</w:t>
      </w:r>
      <w:r w:rsidRPr="00723135">
        <w:rPr>
          <w:lang w:val="en-US"/>
        </w:rPr>
        <w:t xml:space="preserve"> identified and approved opportunities, only one opportunity is unlikely to happen, being the GIS advantages in network design. None of </w:t>
      </w:r>
      <w:r w:rsidR="00646A3E" w:rsidRPr="00723135">
        <w:rPr>
          <w:lang w:val="en-US"/>
        </w:rPr>
        <w:t>t</w:t>
      </w:r>
      <w:r w:rsidRPr="00723135">
        <w:rPr>
          <w:lang w:val="en-US"/>
        </w:rPr>
        <w:t xml:space="preserve">he opportunities were found to be of low importance by the respondents. Based on these survey results, five elements are selected for additional focus. </w:t>
      </w:r>
    </w:p>
    <w:p w:rsidR="008D56B9" w:rsidRPr="00723135" w:rsidRDefault="008D56B9" w:rsidP="008D56B9">
      <w:pPr>
        <w:jc w:val="both"/>
        <w:rPr>
          <w:lang w:val="en-US"/>
        </w:rPr>
      </w:pPr>
    </w:p>
    <w:p w:rsidR="008D56B9" w:rsidRPr="00723135" w:rsidRDefault="008D56B9" w:rsidP="008D56B9">
      <w:pPr>
        <w:jc w:val="both"/>
        <w:rPr>
          <w:lang w:val="en-US"/>
        </w:rPr>
      </w:pPr>
      <w:r w:rsidRPr="00723135">
        <w:rPr>
          <w:b/>
          <w:lang w:val="en-US"/>
        </w:rPr>
        <w:t>Single European Transport Area</w:t>
      </w:r>
      <w:r w:rsidRPr="00723135">
        <w:rPr>
          <w:lang w:val="en-US"/>
        </w:rPr>
        <w:tab/>
      </w:r>
      <w:r w:rsidR="00FB494B">
        <w:rPr>
          <w:lang w:val="en-US"/>
        </w:rPr>
        <w:tab/>
      </w:r>
      <w:r w:rsidRPr="00723135">
        <w:rPr>
          <w:lang w:val="en-US"/>
        </w:rPr>
        <w:t>The White Paper of the European Commission (2011) indicates that the creation of a unified market could reduce costs, increase the sustainability of transport in Europe, increase the number of quality jobs and set up a framework for safer transport. In addition, as Central and Eastern Europe's economies grow further and GDP per capita rates are increasing, the need for more than one European logistics center will arise. In order to connect the different corners of Europe, nine major Rail Freight Corridors on the European continent are under development. On the territory of Belgium, three of th</w:t>
      </w:r>
      <w:r w:rsidR="00297C46">
        <w:rPr>
          <w:lang w:val="en-US"/>
        </w:rPr>
        <w:t xml:space="preserve">ese corridors </w:t>
      </w:r>
      <w:r w:rsidRPr="00723135">
        <w:rPr>
          <w:lang w:val="en-US"/>
        </w:rPr>
        <w:t>are connected to the Belgian rail network</w:t>
      </w:r>
      <w:r w:rsidR="00297C46">
        <w:rPr>
          <w:lang w:val="en-US"/>
        </w:rPr>
        <w:t xml:space="preserve">, </w:t>
      </w:r>
      <w:r w:rsidR="00297C46" w:rsidRPr="00723135">
        <w:rPr>
          <w:lang w:val="en-US"/>
        </w:rPr>
        <w:t>all passi</w:t>
      </w:r>
      <w:r w:rsidR="00297C46">
        <w:rPr>
          <w:lang w:val="en-US"/>
        </w:rPr>
        <w:t>ng through the Port of Antwerp</w:t>
      </w:r>
      <w:r w:rsidRPr="00723135">
        <w:rPr>
          <w:lang w:val="en-US"/>
        </w:rPr>
        <w:t xml:space="preserve"> (</w:t>
      </w:r>
      <w:proofErr w:type="spellStart"/>
      <w:r w:rsidRPr="00723135">
        <w:rPr>
          <w:lang w:val="en-US"/>
        </w:rPr>
        <w:t>Mitusch</w:t>
      </w:r>
      <w:proofErr w:type="spellEnd"/>
      <w:r w:rsidR="00646A3E" w:rsidRPr="00723135">
        <w:rPr>
          <w:lang w:val="en-US"/>
        </w:rPr>
        <w:t xml:space="preserve"> et al.</w:t>
      </w:r>
      <w:r w:rsidRPr="00723135">
        <w:rPr>
          <w:lang w:val="en-US"/>
        </w:rPr>
        <w:t>, 2014; INFRABEL, 2014).</w:t>
      </w:r>
      <w:r w:rsidR="0065063C" w:rsidRPr="00723135">
        <w:rPr>
          <w:lang w:val="en-US"/>
        </w:rPr>
        <w:t xml:space="preserve"> The respondents indicate this as an important element, with a high impact and a high likelihood of hap</w:t>
      </w:r>
      <w:r w:rsidR="00915F8F">
        <w:rPr>
          <w:lang w:val="en-US"/>
        </w:rPr>
        <w:t>pening with a homogeneity of 26.</w:t>
      </w:r>
      <w:r w:rsidR="0065063C" w:rsidRPr="00723135">
        <w:rPr>
          <w:lang w:val="en-US"/>
        </w:rPr>
        <w:t>53%, indicating a high level of agreement.</w:t>
      </w:r>
    </w:p>
    <w:p w:rsidR="008D56B9" w:rsidRPr="00723135" w:rsidRDefault="008D56B9" w:rsidP="008D56B9">
      <w:pPr>
        <w:jc w:val="both"/>
        <w:rPr>
          <w:lang w:val="en-US"/>
        </w:rPr>
      </w:pPr>
    </w:p>
    <w:p w:rsidR="008D56B9" w:rsidRPr="00723135" w:rsidRDefault="008D56B9" w:rsidP="008D56B9">
      <w:pPr>
        <w:jc w:val="both"/>
        <w:rPr>
          <w:lang w:val="en-US"/>
        </w:rPr>
      </w:pPr>
      <w:r w:rsidRPr="00723135">
        <w:rPr>
          <w:b/>
          <w:lang w:val="en-US"/>
        </w:rPr>
        <w:t>Standardization and interoperability</w:t>
      </w:r>
      <w:r w:rsidRPr="00723135">
        <w:rPr>
          <w:lang w:val="en-US"/>
        </w:rPr>
        <w:tab/>
        <w:t xml:space="preserve">According to </w:t>
      </w:r>
      <w:proofErr w:type="spellStart"/>
      <w:r w:rsidRPr="00723135">
        <w:rPr>
          <w:lang w:val="en-US"/>
        </w:rPr>
        <w:t>Mitusch</w:t>
      </w:r>
      <w:proofErr w:type="spellEnd"/>
      <w:r w:rsidR="00646A3E" w:rsidRPr="00723135">
        <w:rPr>
          <w:lang w:val="en-US"/>
        </w:rPr>
        <w:t xml:space="preserve"> et al.</w:t>
      </w:r>
      <w:r w:rsidR="0065063C" w:rsidRPr="00723135">
        <w:rPr>
          <w:lang w:val="en-US"/>
        </w:rPr>
        <w:t xml:space="preserve"> (2014)</w:t>
      </w:r>
      <w:r w:rsidRPr="00723135">
        <w:rPr>
          <w:lang w:val="en-US"/>
        </w:rPr>
        <w:t>, the upgrade of the European fleet and rail network should be executed with the goal of increasing interoperability, and obtain standardization on the European continent. This will make intermodal transport more attractive and lower access barriers</w:t>
      </w:r>
      <w:r w:rsidR="0065063C" w:rsidRPr="00723135">
        <w:rPr>
          <w:lang w:val="en-US"/>
        </w:rPr>
        <w:t xml:space="preserve">. </w:t>
      </w:r>
      <w:r w:rsidRPr="00723135">
        <w:rPr>
          <w:lang w:val="en-US"/>
        </w:rPr>
        <w:t>Also harmonization of the different legislation acts and technical standards between EU member states hold opportunities to decrease the barriers to enter the mark</w:t>
      </w:r>
      <w:r w:rsidR="0065063C" w:rsidRPr="00723135">
        <w:rPr>
          <w:lang w:val="en-US"/>
        </w:rPr>
        <w:t xml:space="preserve">et, </w:t>
      </w:r>
      <w:r w:rsidRPr="00723135">
        <w:rPr>
          <w:lang w:val="en-US"/>
        </w:rPr>
        <w:t xml:space="preserve">to increase competitiveness for intermodal </w:t>
      </w:r>
      <w:r w:rsidR="0065063C" w:rsidRPr="00723135">
        <w:rPr>
          <w:lang w:val="en-US"/>
        </w:rPr>
        <w:t>transport and to increase network reliability (</w:t>
      </w:r>
      <w:r w:rsidRPr="00723135">
        <w:rPr>
          <w:lang w:val="en-US"/>
        </w:rPr>
        <w:t>Crozet</w:t>
      </w:r>
      <w:r w:rsidR="00646A3E" w:rsidRPr="00723135">
        <w:rPr>
          <w:lang w:val="en-US"/>
        </w:rPr>
        <w:t xml:space="preserve"> et al.</w:t>
      </w:r>
      <w:r w:rsidR="0065063C" w:rsidRPr="00723135">
        <w:rPr>
          <w:lang w:val="en-US"/>
        </w:rPr>
        <w:t>, 2014)</w:t>
      </w:r>
      <w:r w:rsidRPr="00723135">
        <w:rPr>
          <w:lang w:val="en-US"/>
        </w:rPr>
        <w:t>. A great benefit would be the ability to create multiple fall back corridors, serving as back-up solutions</w:t>
      </w:r>
      <w:r w:rsidR="0065063C" w:rsidRPr="00723135">
        <w:rPr>
          <w:lang w:val="en-US"/>
        </w:rPr>
        <w:t>. Although there is a high level of agreement on the important influence this opportunity could have on the future development of intermodal rail transport (H-index of 46.75</w:t>
      </w:r>
      <w:r w:rsidR="00915F8F">
        <w:rPr>
          <w:lang w:val="en-US"/>
        </w:rPr>
        <w:t>%), there is only little belief</w:t>
      </w:r>
      <w:r w:rsidR="0065063C" w:rsidRPr="00723135">
        <w:rPr>
          <w:lang w:val="en-US"/>
        </w:rPr>
        <w:t xml:space="preserve"> that this opportunity will take place, </w:t>
      </w:r>
      <w:r w:rsidR="00C54B84">
        <w:rPr>
          <w:lang w:val="en-US"/>
        </w:rPr>
        <w:t>indicated</w:t>
      </w:r>
      <w:r w:rsidR="0065063C" w:rsidRPr="00723135">
        <w:rPr>
          <w:lang w:val="en-US"/>
        </w:rPr>
        <w:t xml:space="preserve"> by the neutral modus and moderate level of agreement in terms of likelihood of happening (H-index of 11.24%).</w:t>
      </w:r>
    </w:p>
    <w:p w:rsidR="0065063C" w:rsidRPr="00723135" w:rsidRDefault="0065063C" w:rsidP="008D56B9">
      <w:pPr>
        <w:jc w:val="both"/>
        <w:rPr>
          <w:lang w:val="en-US"/>
        </w:rPr>
      </w:pPr>
    </w:p>
    <w:p w:rsidR="008D56B9" w:rsidRPr="00723135" w:rsidRDefault="008D56B9" w:rsidP="008D56B9">
      <w:pPr>
        <w:jc w:val="both"/>
        <w:rPr>
          <w:lang w:val="en-US"/>
        </w:rPr>
      </w:pPr>
      <w:r w:rsidRPr="00723135">
        <w:rPr>
          <w:b/>
          <w:lang w:val="en-US"/>
        </w:rPr>
        <w:t>Promotion of intermodal transport at European level</w:t>
      </w:r>
      <w:r w:rsidRPr="00723135">
        <w:rPr>
          <w:lang w:val="en-US"/>
        </w:rPr>
        <w:tab/>
      </w:r>
      <w:r w:rsidRPr="00723135">
        <w:rPr>
          <w:lang w:val="en-US"/>
        </w:rPr>
        <w:tab/>
        <w:t>Depending on the willingness of Europe to promote intermodal rail transport, the results from the analysis of external costs of rail transport and monetization of impacts can be used to increase its attractiveness. The results obtained in this study could be used as criteria to help deciding on the development of intermodal transportation in Belgium including environmental aspects for the future and allowing the pollution reduction of direct emissions.</w:t>
      </w:r>
      <w:r w:rsidR="0065063C" w:rsidRPr="00723135">
        <w:rPr>
          <w:lang w:val="en-US"/>
        </w:rPr>
        <w:t xml:space="preserve"> This element has a positive modus on both impact and likelihood, with an H-index of 16.57% for both parameters.</w:t>
      </w:r>
    </w:p>
    <w:p w:rsidR="008D56B9" w:rsidRPr="00723135" w:rsidRDefault="008D56B9" w:rsidP="008D56B9">
      <w:pPr>
        <w:jc w:val="both"/>
        <w:rPr>
          <w:lang w:val="en-US"/>
        </w:rPr>
      </w:pPr>
    </w:p>
    <w:p w:rsidR="008D56B9" w:rsidRPr="00723135" w:rsidRDefault="008D56B9" w:rsidP="008D56B9">
      <w:pPr>
        <w:jc w:val="both"/>
        <w:rPr>
          <w:lang w:val="en-US"/>
        </w:rPr>
      </w:pPr>
      <w:r w:rsidRPr="00723135">
        <w:rPr>
          <w:b/>
          <w:lang w:val="en-US"/>
        </w:rPr>
        <w:t>Consolidation</w:t>
      </w:r>
      <w:r w:rsidR="00297C46">
        <w:rPr>
          <w:lang w:val="en-US"/>
        </w:rPr>
        <w:tab/>
        <w:t>Container transport</w:t>
      </w:r>
      <w:r w:rsidRPr="00723135">
        <w:rPr>
          <w:lang w:val="en-US"/>
        </w:rPr>
        <w:t xml:space="preserve"> by rail need a certain distance in order to become attractive. The development of the European corridors described above will therefore strengthen the position of intermodal rail freight, supported by increased bundling possibilities due to an increased attractiveness of new or existing flows, once the delivery points become connected to the rail network </w:t>
      </w:r>
      <w:r w:rsidR="00C6371A" w:rsidRPr="00723135">
        <w:rPr>
          <w:lang w:val="en-US"/>
        </w:rPr>
        <w:t>(</w:t>
      </w:r>
      <w:r w:rsidRPr="00723135">
        <w:rPr>
          <w:lang w:val="en-US"/>
        </w:rPr>
        <w:t>Crozet</w:t>
      </w:r>
      <w:r w:rsidR="00C6371A" w:rsidRPr="00723135">
        <w:rPr>
          <w:lang w:val="en-US"/>
        </w:rPr>
        <w:t xml:space="preserve"> et al., 2014;</w:t>
      </w:r>
      <w:r w:rsidRPr="00723135">
        <w:rPr>
          <w:lang w:val="en-US"/>
        </w:rPr>
        <w:t xml:space="preserve"> </w:t>
      </w:r>
      <w:proofErr w:type="spellStart"/>
      <w:r w:rsidRPr="00723135">
        <w:rPr>
          <w:lang w:val="en-US"/>
        </w:rPr>
        <w:t>Mitusch</w:t>
      </w:r>
      <w:proofErr w:type="spellEnd"/>
      <w:r w:rsidR="00646A3E" w:rsidRPr="00723135">
        <w:rPr>
          <w:lang w:val="en-US"/>
        </w:rPr>
        <w:t xml:space="preserve"> et al.</w:t>
      </w:r>
      <w:r w:rsidR="00C6371A" w:rsidRPr="00723135">
        <w:rPr>
          <w:lang w:val="en-US"/>
        </w:rPr>
        <w:t>, 2014)</w:t>
      </w:r>
      <w:r w:rsidRPr="00723135">
        <w:rPr>
          <w:lang w:val="en-US"/>
        </w:rPr>
        <w:t xml:space="preserve">. These delivery points are built in the form of multimodal freight terminals, acting as regional hubs where flows are bundled and shifted from one transportation mode to another. </w:t>
      </w:r>
      <w:r w:rsidR="00C6371A" w:rsidRPr="00723135">
        <w:rPr>
          <w:lang w:val="en-US"/>
        </w:rPr>
        <w:t>B</w:t>
      </w:r>
      <w:r w:rsidRPr="00723135">
        <w:rPr>
          <w:lang w:val="en-US"/>
        </w:rPr>
        <w:t>undling leads to a better loading of the trains and thus to higher load factors. This means that the total transportation operational and external costs can be optimally split between the different units transported. The rail unit cost therefore decreases, which improve</w:t>
      </w:r>
      <w:r w:rsidR="00915F8F">
        <w:rPr>
          <w:lang w:val="en-US"/>
        </w:rPr>
        <w:t>s the attractiveness of rail</w:t>
      </w:r>
      <w:r w:rsidRPr="00723135">
        <w:rPr>
          <w:lang w:val="en-US"/>
        </w:rPr>
        <w:t xml:space="preserve"> transport, compared to door-to-door transport.</w:t>
      </w:r>
      <w:r w:rsidR="00C6371A" w:rsidRPr="00723135">
        <w:rPr>
          <w:lang w:val="en-US"/>
        </w:rPr>
        <w:t xml:space="preserve"> </w:t>
      </w:r>
      <w:r w:rsidR="00646A3E" w:rsidRPr="00723135">
        <w:rPr>
          <w:lang w:val="en-US"/>
        </w:rPr>
        <w:t xml:space="preserve">As a counterpart of the opportunity represented by the consolidation of flows, the impossibility of consolidating freight is clearly a threat for intermodal rail transport. Indeed, if the bundling of goods is not possible, the high fixed costs and emissions have to be borne by the few units loaded on the train. The unit costs and emissions of intermodal transport thus increase, which makes it relatively less interesting in relation to road. </w:t>
      </w:r>
      <w:r w:rsidR="00C6371A" w:rsidRPr="00723135">
        <w:rPr>
          <w:lang w:val="en-US"/>
        </w:rPr>
        <w:t>All respondents have indicated that this element is of great importance, although the likelihood of happening is found to be only moderate, reflecting the respondents’ caution on future cooperation activities.</w:t>
      </w:r>
    </w:p>
    <w:p w:rsidR="007A743C" w:rsidRPr="00723135" w:rsidRDefault="007A743C" w:rsidP="007A743C">
      <w:pPr>
        <w:ind w:left="284"/>
        <w:jc w:val="both"/>
        <w:rPr>
          <w:lang w:val="en-US"/>
        </w:rPr>
      </w:pPr>
    </w:p>
    <w:p w:rsidR="008D56B9" w:rsidRPr="00723135" w:rsidRDefault="008D56B9" w:rsidP="008D56B9">
      <w:pPr>
        <w:jc w:val="both"/>
        <w:rPr>
          <w:lang w:val="en-US"/>
        </w:rPr>
      </w:pPr>
      <w:r w:rsidRPr="00723135">
        <w:rPr>
          <w:b/>
          <w:lang w:val="en-US"/>
        </w:rPr>
        <w:t>Future road taxes</w:t>
      </w:r>
      <w:r w:rsidRPr="00723135">
        <w:rPr>
          <w:lang w:val="en-US"/>
        </w:rPr>
        <w:tab/>
      </w:r>
      <w:proofErr w:type="gramStart"/>
      <w:r w:rsidRPr="00723135">
        <w:rPr>
          <w:lang w:val="en-US"/>
        </w:rPr>
        <w:t>There</w:t>
      </w:r>
      <w:proofErr w:type="gramEnd"/>
      <w:r w:rsidRPr="00723135">
        <w:rPr>
          <w:lang w:val="en-US"/>
        </w:rPr>
        <w:t xml:space="preserve"> is currently a</w:t>
      </w:r>
      <w:r w:rsidR="00915F8F">
        <w:rPr>
          <w:lang w:val="en-US"/>
        </w:rPr>
        <w:t xml:space="preserve"> growing</w:t>
      </w:r>
      <w:r w:rsidRPr="00723135">
        <w:rPr>
          <w:lang w:val="en-US"/>
        </w:rPr>
        <w:t xml:space="preserve"> political consent to shift the costs of the infrastructure to the user. Imposing taxes on motorways is one example of such kind of policy. In Belgium, in 2016, trucks will be charged for each kilometer performed on motorways. These future road taxes, which penalize transport by truck </w:t>
      </w:r>
      <w:r w:rsidR="00C6371A" w:rsidRPr="00723135">
        <w:rPr>
          <w:lang w:val="en-US"/>
        </w:rPr>
        <w:t>(</w:t>
      </w:r>
      <w:proofErr w:type="spellStart"/>
      <w:r w:rsidRPr="00723135">
        <w:rPr>
          <w:lang w:val="en-US"/>
        </w:rPr>
        <w:t>UPTR</w:t>
      </w:r>
      <w:proofErr w:type="spellEnd"/>
      <w:r w:rsidR="00C6371A" w:rsidRPr="00723135">
        <w:rPr>
          <w:lang w:val="en-US"/>
        </w:rPr>
        <w:t>, 2015)</w:t>
      </w:r>
      <w:r w:rsidRPr="00723135">
        <w:rPr>
          <w:lang w:val="en-US"/>
        </w:rPr>
        <w:t>, can also indirectly benefit to intermoda</w:t>
      </w:r>
      <w:r w:rsidR="00915F8F">
        <w:rPr>
          <w:lang w:val="en-US"/>
        </w:rPr>
        <w:t>l rail transport, from the cost</w:t>
      </w:r>
      <w:r w:rsidRPr="00723135">
        <w:rPr>
          <w:lang w:val="en-US"/>
        </w:rPr>
        <w:t xml:space="preserve"> competitiveness perspective</w:t>
      </w:r>
      <w:r w:rsidR="00C6371A" w:rsidRPr="00723135">
        <w:rPr>
          <w:lang w:val="en-US"/>
        </w:rPr>
        <w:t xml:space="preserve"> and</w:t>
      </w:r>
      <w:r w:rsidRPr="00723135">
        <w:rPr>
          <w:lang w:val="en-US"/>
        </w:rPr>
        <w:t xml:space="preserve"> at the condition that the road pre- and post-haulage are not too long.</w:t>
      </w:r>
      <w:r w:rsidR="00C6371A" w:rsidRPr="00723135">
        <w:rPr>
          <w:lang w:val="en-US"/>
        </w:rPr>
        <w:t xml:space="preserve"> With an H-index of 28.99% and a positive modus, this element is found to be rather important and likely to happen.</w:t>
      </w:r>
    </w:p>
    <w:p w:rsidR="008D56B9" w:rsidRPr="00723135" w:rsidRDefault="008D56B9" w:rsidP="007A743C">
      <w:pPr>
        <w:ind w:left="284"/>
        <w:jc w:val="both"/>
        <w:rPr>
          <w:lang w:val="en-US"/>
        </w:rPr>
      </w:pPr>
    </w:p>
    <w:p w:rsidR="007758D5" w:rsidRPr="00723135" w:rsidRDefault="007758D5" w:rsidP="00B60466">
      <w:pPr>
        <w:numPr>
          <w:ilvl w:val="1"/>
          <w:numId w:val="1"/>
        </w:numPr>
        <w:ind w:left="284" w:firstLine="0"/>
        <w:jc w:val="both"/>
        <w:rPr>
          <w:b/>
          <w:bCs/>
          <w:lang w:val="en-US"/>
        </w:rPr>
      </w:pPr>
      <w:r w:rsidRPr="00723135">
        <w:rPr>
          <w:b/>
          <w:bCs/>
          <w:lang w:val="en-US"/>
        </w:rPr>
        <w:t>Threats</w:t>
      </w:r>
    </w:p>
    <w:p w:rsidR="00C6371A" w:rsidRPr="00723135" w:rsidRDefault="00C6371A" w:rsidP="00C6371A">
      <w:pPr>
        <w:jc w:val="both"/>
        <w:rPr>
          <w:lang w:val="en-US"/>
        </w:rPr>
      </w:pPr>
      <w:r w:rsidRPr="00723135">
        <w:rPr>
          <w:lang w:val="en-US"/>
        </w:rPr>
        <w:t xml:space="preserve">In the last category, </w:t>
      </w:r>
      <w:r w:rsidR="00EE673A">
        <w:rPr>
          <w:lang w:val="en-US"/>
        </w:rPr>
        <w:t>17</w:t>
      </w:r>
      <w:r w:rsidRPr="00723135">
        <w:rPr>
          <w:lang w:val="en-US"/>
        </w:rPr>
        <w:t xml:space="preserve"> identified threats have been analyzed in the survey. </w:t>
      </w:r>
      <w:r w:rsidR="00646A3E" w:rsidRPr="00723135">
        <w:rPr>
          <w:lang w:val="en-US"/>
        </w:rPr>
        <w:t>According to the experts, no threats are unlikely to happen, and only one element has a low impact ranking, being the lack of specific Belgian data on freight transportation. Two elements have been selected from the ranking</w:t>
      </w:r>
      <w:r w:rsidR="004F5DBD">
        <w:rPr>
          <w:lang w:val="en-US"/>
        </w:rPr>
        <w:t>,</w:t>
      </w:r>
      <w:r w:rsidR="00646A3E" w:rsidRPr="00723135">
        <w:rPr>
          <w:lang w:val="en-US"/>
        </w:rPr>
        <w:t xml:space="preserve"> created by the survey results.</w:t>
      </w:r>
    </w:p>
    <w:p w:rsidR="00646A3E" w:rsidRPr="00723135" w:rsidRDefault="00646A3E" w:rsidP="00C6371A">
      <w:pPr>
        <w:jc w:val="both"/>
        <w:rPr>
          <w:lang w:val="en-US"/>
        </w:rPr>
      </w:pPr>
    </w:p>
    <w:p w:rsidR="00646A3E" w:rsidRPr="00723135" w:rsidRDefault="00646A3E" w:rsidP="00C6371A">
      <w:pPr>
        <w:jc w:val="both"/>
        <w:rPr>
          <w:lang w:val="en-US"/>
        </w:rPr>
      </w:pPr>
      <w:r w:rsidRPr="00723135">
        <w:rPr>
          <w:b/>
          <w:lang w:val="en-US"/>
        </w:rPr>
        <w:t>Cancellation of investments and subsidies</w:t>
      </w:r>
      <w:r w:rsidR="00FB494B">
        <w:rPr>
          <w:lang w:val="en-US"/>
        </w:rPr>
        <w:tab/>
      </w:r>
      <w:r w:rsidRPr="00723135">
        <w:rPr>
          <w:lang w:val="en-US"/>
        </w:rPr>
        <w:t>Due to the current restricted budgetary context, resulting in severe savings in many European countries, a number of projects from the previous investment term have been or are at the risk of being frozen or delayed (</w:t>
      </w:r>
      <w:proofErr w:type="spellStart"/>
      <w:r w:rsidRPr="00723135">
        <w:rPr>
          <w:lang w:val="en-US"/>
        </w:rPr>
        <w:t>MORA</w:t>
      </w:r>
      <w:proofErr w:type="spellEnd"/>
      <w:r w:rsidRPr="00723135">
        <w:rPr>
          <w:lang w:val="en-US"/>
        </w:rPr>
        <w:t xml:space="preserve">, 2012). Over the period 2007 - 2013, public investments have declined by 20%, indicating that the economic crisis might leave a long lasting impact on the investment climate (European Commission, </w:t>
      </w:r>
      <w:proofErr w:type="spellStart"/>
      <w:r w:rsidRPr="00723135">
        <w:rPr>
          <w:lang w:val="en-US"/>
        </w:rPr>
        <w:t>2014b</w:t>
      </w:r>
      <w:proofErr w:type="spellEnd"/>
      <w:r w:rsidRPr="00723135">
        <w:rPr>
          <w:lang w:val="en-US"/>
        </w:rPr>
        <w:t xml:space="preserve">). In Belgium, </w:t>
      </w:r>
      <w:proofErr w:type="spellStart"/>
      <w:r w:rsidRPr="00723135">
        <w:rPr>
          <w:lang w:val="en-US"/>
        </w:rPr>
        <w:t>SNCB</w:t>
      </w:r>
      <w:proofErr w:type="spellEnd"/>
      <w:r w:rsidRPr="00723135">
        <w:rPr>
          <w:lang w:val="en-US"/>
        </w:rPr>
        <w:t xml:space="preserve"> and Infrabel will both need to cut back on costs and expenses with 1.5 billion Euro, equalling also 20% of the budget</w:t>
      </w:r>
      <w:r w:rsidR="00EE673A">
        <w:rPr>
          <w:lang w:val="en-US"/>
        </w:rPr>
        <w:t>,</w:t>
      </w:r>
      <w:r w:rsidRPr="00723135">
        <w:rPr>
          <w:lang w:val="en-US"/>
        </w:rPr>
        <w:t xml:space="preserve"> over the period 2015 - 2020 (Houtman, 2014). Subsidies for intermodal freight traffic in Belgium have been halved over the past seven years, from 30 million Euro in 2007 to only 15 million Euro in 2014 (Santos, 2015). This element has been identified as the most important threat in the survey analysis, with a </w:t>
      </w:r>
      <w:r w:rsidRPr="00723135">
        <w:rPr>
          <w:lang w:val="en-US"/>
        </w:rPr>
        <w:lastRenderedPageBreak/>
        <w:t>positive modus and an H-index for impact of 49.49% and an H-index for likelihood of happening of 46.43%, indicating a high level of agreement between the different respondents.</w:t>
      </w:r>
    </w:p>
    <w:p w:rsidR="00646A3E" w:rsidRPr="00723135" w:rsidRDefault="00646A3E" w:rsidP="00C6371A">
      <w:pPr>
        <w:jc w:val="both"/>
        <w:rPr>
          <w:lang w:val="en-US"/>
        </w:rPr>
      </w:pPr>
    </w:p>
    <w:p w:rsidR="00C6371A" w:rsidRPr="00723135" w:rsidRDefault="00646A3E" w:rsidP="00646A3E">
      <w:pPr>
        <w:jc w:val="both"/>
        <w:rPr>
          <w:lang w:val="en-US"/>
        </w:rPr>
      </w:pPr>
      <w:r w:rsidRPr="00723135">
        <w:rPr>
          <w:b/>
          <w:lang w:val="en-US"/>
        </w:rPr>
        <w:t>Monopoly or duopoly</w:t>
      </w:r>
      <w:r w:rsidR="00FB494B">
        <w:rPr>
          <w:lang w:val="en-US"/>
        </w:rPr>
        <w:tab/>
      </w:r>
      <w:r w:rsidRPr="00723135">
        <w:rPr>
          <w:lang w:val="en-US"/>
        </w:rPr>
        <w:t>Due to the liberalization and the creation of a Single European Transport Area, a number of well-established European players are eager to sweep the European market, by taking over the existing smaller companies. This trend is already going</w:t>
      </w:r>
      <w:r w:rsidR="00DF6DD8">
        <w:rPr>
          <w:lang w:val="en-US"/>
        </w:rPr>
        <w:t xml:space="preserve"> on in many European countries</w:t>
      </w:r>
      <w:r w:rsidRPr="00723135">
        <w:rPr>
          <w:lang w:val="en-US"/>
        </w:rPr>
        <w:t>, who no longer have national railway companies operating in the rail freight sector, but left these activities to the main European operators (Crozet et al., 2014</w:t>
      </w:r>
      <w:r w:rsidR="00DF6DD8">
        <w:rPr>
          <w:lang w:val="en-US"/>
        </w:rPr>
        <w:t xml:space="preserve">). </w:t>
      </w:r>
      <w:r w:rsidRPr="00723135">
        <w:rPr>
          <w:lang w:val="en-US"/>
        </w:rPr>
        <w:t xml:space="preserve">Whether the development to a market of two or three rail companies would be a good or a bad evolution is not commonly agreed upon. This is also clear from the moderate level of agreement between the respondents in the survey. A high impact can be observed, with an H-index of only 11.24%. In terms of </w:t>
      </w:r>
      <w:r w:rsidR="00DF6DD8">
        <w:rPr>
          <w:lang w:val="en-US"/>
        </w:rPr>
        <w:t>uncertainty</w:t>
      </w:r>
      <w:r w:rsidRPr="00723135">
        <w:rPr>
          <w:lang w:val="en-US"/>
        </w:rPr>
        <w:t>, the panel is more consistent by stating a high likelihood of happening, with an H-index of 30.77%. The level of regulation and competition between the remaining players will prove essential if this trend continues, and a limited number of market players brings the advantage of an equal service being continuously provided. On the other hand, caution should be given to some niche markets, where the nature of the goods only allows rail transportation, risking intolerable price increases in the situation of a monopoly or duopoly (Crozet et al., 2014; Buyse et al., 2014). According to Crozet et al. (2014), the most likely scenario for Belgium will be a de facto duopoly with room for some small railway operators, although they would not be able to influence the decisions taken in the rail sector.</w:t>
      </w:r>
    </w:p>
    <w:p w:rsidR="007A743C" w:rsidRPr="00723135" w:rsidRDefault="007A743C" w:rsidP="007A743C">
      <w:pPr>
        <w:ind w:left="284"/>
        <w:jc w:val="both"/>
        <w:rPr>
          <w:b/>
          <w:bCs/>
          <w:lang w:val="en-US"/>
        </w:rPr>
      </w:pPr>
    </w:p>
    <w:p w:rsidR="007758D5" w:rsidRPr="00723135" w:rsidRDefault="007A743C" w:rsidP="00B60466">
      <w:pPr>
        <w:numPr>
          <w:ilvl w:val="1"/>
          <w:numId w:val="1"/>
        </w:numPr>
        <w:ind w:left="284" w:firstLine="0"/>
        <w:jc w:val="both"/>
        <w:rPr>
          <w:b/>
          <w:bCs/>
          <w:lang w:val="en-US"/>
        </w:rPr>
      </w:pPr>
      <w:r w:rsidRPr="00723135">
        <w:rPr>
          <w:b/>
          <w:bCs/>
          <w:lang w:val="en-US"/>
        </w:rPr>
        <w:t>Governance and policy-making</w:t>
      </w:r>
    </w:p>
    <w:p w:rsidR="00892862" w:rsidRPr="00723135" w:rsidRDefault="00892862" w:rsidP="00892862">
      <w:pPr>
        <w:jc w:val="both"/>
        <w:rPr>
          <w:lang w:val="en-US"/>
        </w:rPr>
      </w:pPr>
      <w:r w:rsidRPr="00723135">
        <w:rPr>
          <w:lang w:val="en-US"/>
        </w:rPr>
        <w:t xml:space="preserve">The </w:t>
      </w:r>
      <w:r w:rsidR="00EE673A">
        <w:rPr>
          <w:lang w:val="en-US"/>
        </w:rPr>
        <w:t>policy-</w:t>
      </w:r>
      <w:r w:rsidRPr="00723135">
        <w:rPr>
          <w:lang w:val="en-US"/>
        </w:rPr>
        <w:t>analysis demonstrates that already in 1997</w:t>
      </w:r>
      <w:r w:rsidR="00EE673A">
        <w:rPr>
          <w:lang w:val="en-US"/>
        </w:rPr>
        <w:t>,</w:t>
      </w:r>
      <w:r w:rsidRPr="00723135">
        <w:rPr>
          <w:lang w:val="en-US"/>
        </w:rPr>
        <w:t xml:space="preserve"> the idea of </w:t>
      </w:r>
      <w:r w:rsidR="00EE673A">
        <w:rPr>
          <w:lang w:val="en-US"/>
        </w:rPr>
        <w:t xml:space="preserve">rail </w:t>
      </w:r>
      <w:r w:rsidRPr="00723135">
        <w:rPr>
          <w:lang w:val="en-US"/>
        </w:rPr>
        <w:t xml:space="preserve">freight intermodality was high on the political agenda of the Belgian federal state. In order to make </w:t>
      </w:r>
      <w:r w:rsidR="00EE673A">
        <w:rPr>
          <w:lang w:val="en-US"/>
        </w:rPr>
        <w:t xml:space="preserve">rail </w:t>
      </w:r>
      <w:r w:rsidRPr="00723135">
        <w:rPr>
          <w:lang w:val="en-US"/>
        </w:rPr>
        <w:t>freight intermodality an integral part of the transport domain, it was, for two (interrelated) reasons, necessary to create unison among a wide nexus of actors. First of all, competences</w:t>
      </w:r>
      <w:r w:rsidRPr="00723135">
        <w:rPr>
          <w:rStyle w:val="FootnoteReference"/>
          <w:lang w:val="en-US"/>
        </w:rPr>
        <w:footnoteReference w:id="9"/>
      </w:r>
      <w:r w:rsidRPr="00723135">
        <w:rPr>
          <w:lang w:val="en-US"/>
        </w:rPr>
        <w:t xml:space="preserve"> in the transport domain are spread over a multitude of departments and agencies from both the federal and the regional level. Second, the field of transport is not an autonomous policy field. Actors from other policy domains</w:t>
      </w:r>
      <w:r w:rsidRPr="00723135">
        <w:rPr>
          <w:rStyle w:val="FootnoteReference"/>
          <w:lang w:val="en-US"/>
        </w:rPr>
        <w:footnoteReference w:id="10"/>
      </w:r>
      <w:r w:rsidRPr="00723135">
        <w:rPr>
          <w:lang w:val="en-US"/>
        </w:rPr>
        <w:t xml:space="preserve"> are also involved. These organizations either have an interest in transport policies or are necessary for the execution of agreed actions. Hence, only a transversal policy that exceeds the different policy fields and levels of government could turn </w:t>
      </w:r>
      <w:r w:rsidR="00EE673A">
        <w:rPr>
          <w:lang w:val="en-US"/>
        </w:rPr>
        <w:t xml:space="preserve">rail </w:t>
      </w:r>
      <w:r w:rsidRPr="00723135">
        <w:rPr>
          <w:lang w:val="en-US"/>
        </w:rPr>
        <w:t xml:space="preserve">freight intermodality into reality. </w:t>
      </w:r>
      <w:r w:rsidR="00DF6DD8">
        <w:rPr>
          <w:lang w:val="en-US"/>
        </w:rPr>
        <w:t xml:space="preserve"> </w:t>
      </w:r>
      <w:bookmarkStart w:id="6" w:name="_GoBack"/>
      <w:bookmarkEnd w:id="6"/>
      <w:r w:rsidRPr="00723135">
        <w:rPr>
          <w:lang w:val="en-US"/>
        </w:rPr>
        <w:t>However, establishing a transversal policy has been rather difficult</w:t>
      </w:r>
      <w:r w:rsidR="00EE673A">
        <w:rPr>
          <w:lang w:val="en-US"/>
        </w:rPr>
        <w:t xml:space="preserve"> (Stevens and Verhoest, 2014)</w:t>
      </w:r>
      <w:r w:rsidRPr="00723135">
        <w:rPr>
          <w:lang w:val="en-US"/>
        </w:rPr>
        <w:t xml:space="preserve">. There were several </w:t>
      </w:r>
      <w:r w:rsidRPr="00723135">
        <w:rPr>
          <w:b/>
          <w:lang w:val="en-US"/>
        </w:rPr>
        <w:t>structural determinants</w:t>
      </w:r>
      <w:r w:rsidRPr="00723135">
        <w:rPr>
          <w:lang w:val="en-US"/>
        </w:rPr>
        <w:t xml:space="preserve">, which refer to the impact of formal structures and procedures on coordination, which stifled policy integration. ‘Quick wins’ were </w:t>
      </w:r>
      <w:r w:rsidR="00EE673A">
        <w:rPr>
          <w:lang w:val="en-US"/>
        </w:rPr>
        <w:t>requested</w:t>
      </w:r>
      <w:r w:rsidRPr="00723135">
        <w:rPr>
          <w:lang w:val="en-US"/>
        </w:rPr>
        <w:t xml:space="preserve"> as it was believed that a transversal strategy could root overnight. The strict policy cycle, which in turn was established, left little room for the stakeholders to negotiate terms and compromise on policy solutions. Additionally, not all relevant actors were a part of the deliberation processes. </w:t>
      </w:r>
      <w:r w:rsidR="00FB494B" w:rsidRPr="00723135">
        <w:rPr>
          <w:lang w:val="en-US"/>
        </w:rPr>
        <w:t xml:space="preserve">Also </w:t>
      </w:r>
      <w:r w:rsidR="00FB494B" w:rsidRPr="00FB494B">
        <w:rPr>
          <w:b/>
          <w:lang w:val="en-US"/>
        </w:rPr>
        <w:t>cultural</w:t>
      </w:r>
      <w:r w:rsidRPr="00723135">
        <w:rPr>
          <w:b/>
          <w:lang w:val="en-US"/>
        </w:rPr>
        <w:t xml:space="preserve"> determinants</w:t>
      </w:r>
      <w:r w:rsidRPr="00723135">
        <w:rPr>
          <w:lang w:val="en-US"/>
        </w:rPr>
        <w:t xml:space="preserve">, understood as the perceptual traits of actors, withheld a transversal strategy from emerging. Among actors, there were insurmountable differences with regard to the nature of the transversal policy and the necessity to create unison. A surreptitious discussion that simultaneously affected the governance of </w:t>
      </w:r>
      <w:r w:rsidR="00EE673A">
        <w:rPr>
          <w:lang w:val="en-US"/>
        </w:rPr>
        <w:t xml:space="preserve">rail </w:t>
      </w:r>
      <w:r w:rsidRPr="00723135">
        <w:rPr>
          <w:lang w:val="en-US"/>
        </w:rPr>
        <w:t xml:space="preserve">freight intermodality, was the call for delegating federal transport competences to the regional level. In consequence, some regional actors did not recognize the position of the federal departments and thereby blocked any attempt for collaboration. Lastly, </w:t>
      </w:r>
      <w:r w:rsidRPr="00723135">
        <w:rPr>
          <w:b/>
          <w:lang w:val="en-US"/>
        </w:rPr>
        <w:t>exogenous determinants</w:t>
      </w:r>
      <w:r w:rsidRPr="00723135">
        <w:rPr>
          <w:lang w:val="en-US"/>
        </w:rPr>
        <w:t xml:space="preserve"> influenced the establishment of a transversal policy. </w:t>
      </w:r>
      <w:r w:rsidR="00EE673A">
        <w:rPr>
          <w:lang w:val="en-US"/>
        </w:rPr>
        <w:t>In the first place</w:t>
      </w:r>
      <w:r w:rsidRPr="00723135">
        <w:rPr>
          <w:lang w:val="en-US"/>
        </w:rPr>
        <w:t>, the</w:t>
      </w:r>
      <w:r w:rsidR="00EE673A">
        <w:rPr>
          <w:lang w:val="en-US"/>
        </w:rPr>
        <w:t>re is the</w:t>
      </w:r>
      <w:r w:rsidRPr="00723135">
        <w:rPr>
          <w:lang w:val="en-US"/>
        </w:rPr>
        <w:t xml:space="preserve"> growing interference of the EU in the transport domain. Although the EU has outlined an all-comprehensive transport vision, the concrete actions that over the years have been launched </w:t>
      </w:r>
      <w:r w:rsidRPr="00723135">
        <w:rPr>
          <w:lang w:val="en-US"/>
        </w:rPr>
        <w:lastRenderedPageBreak/>
        <w:t>did not link the different transpo</w:t>
      </w:r>
      <w:r w:rsidR="004F5DBD">
        <w:rPr>
          <w:lang w:val="en-US"/>
        </w:rPr>
        <w:t xml:space="preserve">rt modes. Domestic actors have </w:t>
      </w:r>
      <w:r w:rsidRPr="00723135">
        <w:rPr>
          <w:lang w:val="en-US"/>
        </w:rPr>
        <w:t xml:space="preserve">not been encouraged to holistically look at the transport domain when transposing the EU legislation into domestic law. </w:t>
      </w:r>
    </w:p>
    <w:p w:rsidR="00101FF1" w:rsidRPr="00723135" w:rsidRDefault="00892862" w:rsidP="00892862">
      <w:pPr>
        <w:jc w:val="both"/>
        <w:rPr>
          <w:lang w:val="en-US"/>
        </w:rPr>
      </w:pPr>
      <w:r w:rsidRPr="00723135">
        <w:rPr>
          <w:lang w:val="en-US"/>
        </w:rPr>
        <w:t xml:space="preserve">In sum, </w:t>
      </w:r>
      <w:r w:rsidR="00EE673A">
        <w:rPr>
          <w:lang w:val="en-US"/>
        </w:rPr>
        <w:t xml:space="preserve">rail </w:t>
      </w:r>
      <w:r w:rsidRPr="00723135">
        <w:rPr>
          <w:lang w:val="en-US"/>
        </w:rPr>
        <w:t xml:space="preserve">freight intermodality has not yet attained a firm foothold in the Belgian transport domain. There has been mere negative coordination between federal and regional actors regarding </w:t>
      </w:r>
      <w:r w:rsidR="00EE673A">
        <w:rPr>
          <w:lang w:val="en-US"/>
        </w:rPr>
        <w:t xml:space="preserve">rail </w:t>
      </w:r>
      <w:r w:rsidRPr="00723135">
        <w:rPr>
          <w:lang w:val="en-US"/>
        </w:rPr>
        <w:t>freight intermodality. This means that every department or agency could see for itself how much effort would be invested in stimulating an intermodal</w:t>
      </w:r>
      <w:r w:rsidR="00EE673A">
        <w:rPr>
          <w:lang w:val="en-US"/>
        </w:rPr>
        <w:t xml:space="preserve"> rail</w:t>
      </w:r>
      <w:r w:rsidRPr="00723135">
        <w:rPr>
          <w:lang w:val="en-US"/>
        </w:rPr>
        <w:t xml:space="preserve"> freight transition</w:t>
      </w:r>
      <w:r w:rsidR="00EE673A">
        <w:rPr>
          <w:lang w:val="en-US"/>
        </w:rPr>
        <w:t>,</w:t>
      </w:r>
      <w:r w:rsidR="00EE673A" w:rsidRPr="00EE673A">
        <w:rPr>
          <w:lang w:val="en-US"/>
        </w:rPr>
        <w:t xml:space="preserve"> without being pressured by peer organizations or some shared objectives.</w:t>
      </w:r>
    </w:p>
    <w:p w:rsidR="00892862" w:rsidRPr="00723135" w:rsidRDefault="00892862" w:rsidP="00892862">
      <w:pPr>
        <w:jc w:val="both"/>
        <w:rPr>
          <w:lang w:val="en-US"/>
        </w:rPr>
      </w:pPr>
    </w:p>
    <w:p w:rsidR="00101FF1" w:rsidRPr="00723135" w:rsidRDefault="007758D5" w:rsidP="00B60466">
      <w:pPr>
        <w:numPr>
          <w:ilvl w:val="0"/>
          <w:numId w:val="1"/>
        </w:numPr>
        <w:jc w:val="both"/>
        <w:rPr>
          <w:b/>
          <w:bCs/>
          <w:u w:val="single"/>
          <w:lang w:val="en-US"/>
        </w:rPr>
      </w:pPr>
      <w:r w:rsidRPr="00723135">
        <w:rPr>
          <w:b/>
          <w:bCs/>
          <w:u w:val="single"/>
          <w:lang w:val="en-US"/>
        </w:rPr>
        <w:t>Conclusion</w:t>
      </w:r>
    </w:p>
    <w:p w:rsidR="00101FF1" w:rsidRPr="00723135" w:rsidRDefault="00101FF1" w:rsidP="00101FF1">
      <w:pPr>
        <w:jc w:val="both"/>
        <w:rPr>
          <w:u w:val="single"/>
          <w:lang w:val="en-US"/>
        </w:rPr>
      </w:pPr>
    </w:p>
    <w:p w:rsidR="00723135" w:rsidRPr="00723135" w:rsidRDefault="00723135" w:rsidP="00723135">
      <w:pPr>
        <w:jc w:val="both"/>
        <w:rPr>
          <w:lang w:val="en-US"/>
        </w:rPr>
      </w:pPr>
      <w:r w:rsidRPr="00723135">
        <w:rPr>
          <w:lang w:val="en-US"/>
        </w:rPr>
        <w:t>Intermodal transport and rail freight transport are faced with a weak usage in Belgium and by extension the European continent in general. In this paper</w:t>
      </w:r>
      <w:r w:rsidR="00EE673A">
        <w:rPr>
          <w:lang w:val="en-US"/>
        </w:rPr>
        <w:t>,</w:t>
      </w:r>
      <w:r w:rsidRPr="00723135">
        <w:rPr>
          <w:lang w:val="en-US"/>
        </w:rPr>
        <w:t xml:space="preserve"> different internal strengths, weaknesses and external </w:t>
      </w:r>
      <w:r w:rsidR="00FB494B" w:rsidRPr="00723135">
        <w:rPr>
          <w:lang w:val="en-US"/>
        </w:rPr>
        <w:t>opportunities</w:t>
      </w:r>
      <w:r w:rsidRPr="00723135">
        <w:rPr>
          <w:lang w:val="en-US"/>
        </w:rPr>
        <w:t xml:space="preserve"> and threats are identified, impacting</w:t>
      </w:r>
      <w:r w:rsidR="00EE673A">
        <w:rPr>
          <w:lang w:val="en-US"/>
        </w:rPr>
        <w:t xml:space="preserve"> on</w:t>
      </w:r>
      <w:r w:rsidRPr="00723135">
        <w:rPr>
          <w:lang w:val="en-US"/>
        </w:rPr>
        <w:t xml:space="preserve"> intermodal rail freight development in Belgium. By consulting a heterogeneous panel of experts in the field of intermodal transport, both public and private, the impact and likelihood of happening of these elements have been defined, in order to make a selection of the most impacting elements. Intermodal rail transport in Belgium has substantial opportunities and as such possibilities to grow, due to the high </w:t>
      </w:r>
      <w:r w:rsidR="00297C46">
        <w:rPr>
          <w:lang w:val="en-US"/>
        </w:rPr>
        <w:t>payload</w:t>
      </w:r>
      <w:r w:rsidRPr="00723135">
        <w:rPr>
          <w:lang w:val="en-US"/>
        </w:rPr>
        <w:t xml:space="preserve"> and reduced costs, as rail transport is linked to reduced externalities compared to road transport. Due to the liberalization of the rail freight market, the European Union is ambitioning a better modal split and a boost for the economy due to the relationship between transport and the GDP. However, due to a number of weaknesses inherent to intermodal rail freight transport, such as high operating costs, complex pricing strategies, missing network links, a lack of flexibility, the need for h</w:t>
      </w:r>
      <w:r w:rsidR="00EE673A">
        <w:rPr>
          <w:lang w:val="en-US"/>
        </w:rPr>
        <w:t>igh investments and weak access</w:t>
      </w:r>
      <w:r w:rsidRPr="00723135">
        <w:rPr>
          <w:lang w:val="en-US"/>
        </w:rPr>
        <w:t xml:space="preserve"> to the network, the anticipated effects of the market liberalization are not ye</w:t>
      </w:r>
      <w:r w:rsidR="00EE673A">
        <w:rPr>
          <w:lang w:val="en-US"/>
        </w:rPr>
        <w:t>t revealed. As competition is he</w:t>
      </w:r>
      <w:r w:rsidRPr="00723135">
        <w:rPr>
          <w:lang w:val="en-US"/>
        </w:rPr>
        <w:t xml:space="preserve">ld back due to market entry barriers, the expected increase in efficiency has not come true yet. Intermodal rail freight also needs to take into account a number of external opportunities and </w:t>
      </w:r>
      <w:r w:rsidR="00FB494B" w:rsidRPr="00723135">
        <w:rPr>
          <w:lang w:val="en-US"/>
        </w:rPr>
        <w:t>threats, which</w:t>
      </w:r>
      <w:r w:rsidRPr="00723135">
        <w:rPr>
          <w:lang w:val="en-US"/>
        </w:rPr>
        <w:t xml:space="preserve"> might impact on its development. In order to stimulate the option of intermodal rail freight transportation, the Single European Transport Area needs to increase standardization and interoperability on the European continent. Together with the promotion of intermodal transport </w:t>
      </w:r>
      <w:r w:rsidR="00EE673A">
        <w:rPr>
          <w:lang w:val="en-US"/>
        </w:rPr>
        <w:t>at</w:t>
      </w:r>
      <w:r w:rsidRPr="00723135">
        <w:rPr>
          <w:lang w:val="en-US"/>
        </w:rPr>
        <w:t xml:space="preserve"> European level, this needs to result in an improved consolidation of flows, in order to obtain the necessary volumes to make rail freight a valuable option. Also the future of road taxes might impact the use of intermodal rail freight in the future. Nevertheless, some factors might also negatively impact the development of rail freight. The threat of impossibility of consolidation and co</w:t>
      </w:r>
      <w:r w:rsidR="00EE673A">
        <w:rPr>
          <w:lang w:val="en-US"/>
        </w:rPr>
        <w:t>-</w:t>
      </w:r>
      <w:r w:rsidRPr="00723135">
        <w:rPr>
          <w:lang w:val="en-US"/>
        </w:rPr>
        <w:t>operation, the cancellation of investments and subsidies in the curren</w:t>
      </w:r>
      <w:r w:rsidR="00FB494B">
        <w:rPr>
          <w:lang w:val="en-US"/>
        </w:rPr>
        <w:t xml:space="preserve">t restricted budgetary context </w:t>
      </w:r>
      <w:r w:rsidRPr="00723135">
        <w:rPr>
          <w:lang w:val="en-US"/>
        </w:rPr>
        <w:t xml:space="preserve">and the possibility of a European monopoly or duopoly can </w:t>
      </w:r>
      <w:r w:rsidR="00EE673A">
        <w:rPr>
          <w:lang w:val="en-US"/>
        </w:rPr>
        <w:t>seriously</w:t>
      </w:r>
      <w:r w:rsidRPr="00723135">
        <w:rPr>
          <w:lang w:val="en-US"/>
        </w:rPr>
        <w:t xml:space="preserve"> impact the evolution of intermodal rail freight transportation in the future.</w:t>
      </w:r>
    </w:p>
    <w:p w:rsidR="00723135" w:rsidRPr="00723135" w:rsidRDefault="00723135" w:rsidP="00723135">
      <w:pPr>
        <w:jc w:val="both"/>
        <w:rPr>
          <w:lang w:val="en-US"/>
        </w:rPr>
      </w:pPr>
    </w:p>
    <w:p w:rsidR="0011414A" w:rsidRPr="00723135" w:rsidRDefault="0011414A" w:rsidP="00CC62D1">
      <w:pPr>
        <w:jc w:val="both"/>
        <w:rPr>
          <w:b/>
          <w:bCs/>
          <w:u w:val="single"/>
          <w:lang w:val="en-US"/>
        </w:rPr>
      </w:pPr>
      <w:r w:rsidRPr="00723135">
        <w:rPr>
          <w:b/>
          <w:bCs/>
          <w:u w:val="single"/>
          <w:lang w:val="en-US"/>
        </w:rPr>
        <w:t>Bibliography</w:t>
      </w:r>
    </w:p>
    <w:p w:rsidR="00B60466" w:rsidRPr="00723135" w:rsidRDefault="00B60466" w:rsidP="00CC62D1">
      <w:pPr>
        <w:jc w:val="both"/>
        <w:rPr>
          <w:lang w:val="en-US"/>
        </w:rPr>
      </w:pPr>
    </w:p>
    <w:p w:rsidR="00B60466" w:rsidRPr="001B4E27" w:rsidRDefault="00B60466" w:rsidP="00723135">
      <w:pPr>
        <w:ind w:right="-2"/>
        <w:jc w:val="both"/>
        <w:rPr>
          <w:lang w:val="en-US"/>
        </w:rPr>
      </w:pPr>
      <w:proofErr w:type="spellStart"/>
      <w:r w:rsidRPr="001B4E27">
        <w:rPr>
          <w:lang w:val="en-US"/>
        </w:rPr>
        <w:t>Acciaro</w:t>
      </w:r>
      <w:proofErr w:type="spellEnd"/>
      <w:r w:rsidRPr="001B4E27">
        <w:rPr>
          <w:lang w:val="en-US"/>
        </w:rPr>
        <w:t xml:space="preserve">, M., Vanelslander, T., Sys, C., Ferrari, C., </w:t>
      </w:r>
      <w:proofErr w:type="spellStart"/>
      <w:r w:rsidRPr="001B4E27">
        <w:rPr>
          <w:lang w:val="en-US"/>
        </w:rPr>
        <w:t>Roumboutsos</w:t>
      </w:r>
      <w:proofErr w:type="spellEnd"/>
      <w:r w:rsidRPr="001B4E27">
        <w:rPr>
          <w:lang w:val="en-US"/>
        </w:rPr>
        <w:t xml:space="preserve">, A., </w:t>
      </w:r>
      <w:proofErr w:type="spellStart"/>
      <w:r w:rsidRPr="001B4E27">
        <w:rPr>
          <w:lang w:val="en-US"/>
        </w:rPr>
        <w:t>Giulano</w:t>
      </w:r>
      <w:proofErr w:type="spellEnd"/>
      <w:r w:rsidRPr="001B4E27">
        <w:rPr>
          <w:lang w:val="en-US"/>
        </w:rPr>
        <w:t xml:space="preserve">, G., et al., </w:t>
      </w:r>
      <w:r w:rsidRPr="001B4E27">
        <w:rPr>
          <w:i/>
          <w:lang w:val="en-US"/>
        </w:rPr>
        <w:t>A framework for successful impl</w:t>
      </w:r>
      <w:r w:rsidR="004F5DBD" w:rsidRPr="001B4E27">
        <w:rPr>
          <w:i/>
          <w:lang w:val="en-US"/>
        </w:rPr>
        <w:t xml:space="preserve">ementation of green innovation </w:t>
      </w:r>
      <w:r w:rsidRPr="001B4E27">
        <w:rPr>
          <w:i/>
          <w:lang w:val="en-US"/>
        </w:rPr>
        <w:t>in seaports</w:t>
      </w:r>
      <w:r w:rsidRPr="001B4E27">
        <w:rPr>
          <w:lang w:val="en-US"/>
        </w:rPr>
        <w:t xml:space="preserve">, </w:t>
      </w:r>
      <w:r w:rsidRPr="001B4E27">
        <w:rPr>
          <w:b/>
          <w:lang w:val="en-US"/>
        </w:rPr>
        <w:t>Maritime Policy and Management</w:t>
      </w:r>
      <w:r w:rsidR="004F5DBD" w:rsidRPr="001B4E27">
        <w:rPr>
          <w:lang w:val="en-US"/>
        </w:rPr>
        <w:t xml:space="preserve">, </w:t>
      </w:r>
      <w:r w:rsidRPr="001B4E27">
        <w:rPr>
          <w:lang w:val="en-US"/>
        </w:rPr>
        <w:t>41 (5), pp. 480 500, 2013</w:t>
      </w:r>
    </w:p>
    <w:p w:rsidR="00C7078D" w:rsidRPr="001B4E27" w:rsidRDefault="004F5DBD" w:rsidP="00723135">
      <w:pPr>
        <w:ind w:right="-2"/>
        <w:jc w:val="both"/>
        <w:rPr>
          <w:lang w:val="en-US"/>
        </w:rPr>
      </w:pPr>
      <w:proofErr w:type="spellStart"/>
      <w:r w:rsidRPr="001B4E27">
        <w:rPr>
          <w:lang w:val="en-US"/>
        </w:rPr>
        <w:t>Bontekoning</w:t>
      </w:r>
      <w:proofErr w:type="spellEnd"/>
      <w:r w:rsidRPr="001B4E27">
        <w:rPr>
          <w:lang w:val="en-US"/>
        </w:rPr>
        <w:t xml:space="preserve">, </w:t>
      </w:r>
      <w:proofErr w:type="spellStart"/>
      <w:r w:rsidRPr="001B4E27">
        <w:rPr>
          <w:lang w:val="en-US"/>
        </w:rPr>
        <w:t>Y.M</w:t>
      </w:r>
      <w:proofErr w:type="spellEnd"/>
      <w:r w:rsidRPr="001B4E27">
        <w:rPr>
          <w:lang w:val="en-US"/>
        </w:rPr>
        <w:t xml:space="preserve">., </w:t>
      </w:r>
      <w:proofErr w:type="spellStart"/>
      <w:r w:rsidRPr="001B4E27">
        <w:rPr>
          <w:lang w:val="en-US"/>
        </w:rPr>
        <w:t>Macharis</w:t>
      </w:r>
      <w:proofErr w:type="spellEnd"/>
      <w:r w:rsidRPr="001B4E27">
        <w:rPr>
          <w:lang w:val="en-US"/>
        </w:rPr>
        <w:t>, C. and Tripp</w:t>
      </w:r>
      <w:r w:rsidR="00C7078D" w:rsidRPr="001B4E27">
        <w:rPr>
          <w:lang w:val="en-US"/>
        </w:rPr>
        <w:t xml:space="preserve">, J. J., </w:t>
      </w:r>
      <w:r w:rsidRPr="001B4E27">
        <w:rPr>
          <w:i/>
          <w:lang w:val="en-US"/>
        </w:rPr>
        <w:t xml:space="preserve">Is a new applied transportation research </w:t>
      </w:r>
      <w:r w:rsidR="00C7078D" w:rsidRPr="001B4E27">
        <w:rPr>
          <w:i/>
          <w:lang w:val="en-US"/>
        </w:rPr>
        <w:t xml:space="preserve">field emerging? A review of </w:t>
      </w:r>
      <w:r w:rsidRPr="001B4E27">
        <w:rPr>
          <w:i/>
          <w:lang w:val="en-US"/>
        </w:rPr>
        <w:t xml:space="preserve">intermodal </w:t>
      </w:r>
      <w:proofErr w:type="spellStart"/>
      <w:r w:rsidRPr="001B4E27">
        <w:rPr>
          <w:i/>
          <w:lang w:val="en-US"/>
        </w:rPr>
        <w:t>railtruck</w:t>
      </w:r>
      <w:proofErr w:type="spellEnd"/>
      <w:r w:rsidRPr="001B4E27">
        <w:rPr>
          <w:i/>
          <w:lang w:val="en-US"/>
        </w:rPr>
        <w:t xml:space="preserve"> </w:t>
      </w:r>
      <w:r w:rsidR="00C7078D" w:rsidRPr="001B4E27">
        <w:rPr>
          <w:i/>
          <w:lang w:val="en-US"/>
        </w:rPr>
        <w:t>freight transport literature</w:t>
      </w:r>
      <w:r w:rsidR="00C7078D" w:rsidRPr="001B4E27">
        <w:rPr>
          <w:lang w:val="en-US"/>
        </w:rPr>
        <w:t xml:space="preserve">, </w:t>
      </w:r>
      <w:r w:rsidR="00C7078D" w:rsidRPr="001B4E27">
        <w:rPr>
          <w:b/>
          <w:lang w:val="en-US"/>
        </w:rPr>
        <w:t>Transportation Research Part A</w:t>
      </w:r>
      <w:r w:rsidR="00C7078D" w:rsidRPr="001B4E27">
        <w:rPr>
          <w:lang w:val="en-US"/>
        </w:rPr>
        <w:t>, 38, pp. 1–34, 2004</w:t>
      </w:r>
    </w:p>
    <w:p w:rsidR="00723135" w:rsidRPr="001B4E27" w:rsidRDefault="00723135" w:rsidP="00723135">
      <w:pPr>
        <w:ind w:right="-2"/>
        <w:jc w:val="both"/>
        <w:rPr>
          <w:lang w:val="en-US"/>
        </w:rPr>
      </w:pPr>
      <w:r w:rsidRPr="001B4E27">
        <w:rPr>
          <w:lang w:val="en-US"/>
        </w:rPr>
        <w:t xml:space="preserve">Buyse, F., Serbruyns, M., </w:t>
      </w:r>
      <w:proofErr w:type="spellStart"/>
      <w:r w:rsidRPr="001B4E27">
        <w:rPr>
          <w:lang w:val="en-US"/>
        </w:rPr>
        <w:t>Deketele</w:t>
      </w:r>
      <w:proofErr w:type="spellEnd"/>
      <w:r w:rsidRPr="001B4E27">
        <w:rPr>
          <w:lang w:val="en-US"/>
        </w:rPr>
        <w:t xml:space="preserve">, L., De Rocker, D., Cuypers, K., Wolters, P. and Hoornaert, B., </w:t>
      </w:r>
      <w:r w:rsidRPr="001B4E27">
        <w:rPr>
          <w:b/>
          <w:lang w:val="en-US"/>
        </w:rPr>
        <w:t xml:space="preserve">Brain-Trains : A SWOT analysis of </w:t>
      </w:r>
      <w:proofErr w:type="spellStart"/>
      <w:r w:rsidRPr="001B4E27">
        <w:rPr>
          <w:b/>
          <w:lang w:val="en-US"/>
        </w:rPr>
        <w:t>interodal</w:t>
      </w:r>
      <w:proofErr w:type="spellEnd"/>
      <w:r w:rsidRPr="001B4E27">
        <w:rPr>
          <w:b/>
          <w:lang w:val="en-US"/>
        </w:rPr>
        <w:t xml:space="preserve"> hinterland rail transport in, from and towards Belgium</w:t>
      </w:r>
      <w:r w:rsidRPr="001B4E27">
        <w:rPr>
          <w:lang w:val="en-US"/>
        </w:rPr>
        <w:t>, Panel Meeting, Brussels, 2014.</w:t>
      </w:r>
    </w:p>
    <w:p w:rsidR="00B60466" w:rsidRPr="001B4E27" w:rsidRDefault="00723135" w:rsidP="00723135">
      <w:pPr>
        <w:ind w:right="-2"/>
        <w:jc w:val="both"/>
        <w:rPr>
          <w:lang w:val="en-US"/>
        </w:rPr>
      </w:pPr>
      <w:r w:rsidRPr="001B4E27">
        <w:rPr>
          <w:lang w:val="en-US"/>
        </w:rPr>
        <w:lastRenderedPageBreak/>
        <w:t>C</w:t>
      </w:r>
      <w:r w:rsidR="00B60466" w:rsidRPr="001B4E27">
        <w:rPr>
          <w:lang w:val="en-US"/>
        </w:rPr>
        <w:t xml:space="preserve">rozet, Y., </w:t>
      </w:r>
      <w:proofErr w:type="spellStart"/>
      <w:r w:rsidR="00B60466" w:rsidRPr="001B4E27">
        <w:rPr>
          <w:lang w:val="en-US"/>
        </w:rPr>
        <w:t>Haucap</w:t>
      </w:r>
      <w:proofErr w:type="spellEnd"/>
      <w:r w:rsidR="00B60466" w:rsidRPr="001B4E27">
        <w:rPr>
          <w:lang w:val="en-US"/>
        </w:rPr>
        <w:t xml:space="preserve">, J., </w:t>
      </w:r>
      <w:proofErr w:type="spellStart"/>
      <w:r w:rsidR="00B60466" w:rsidRPr="001B4E27">
        <w:rPr>
          <w:lang w:val="en-US"/>
        </w:rPr>
        <w:t>Pagel</w:t>
      </w:r>
      <w:proofErr w:type="spellEnd"/>
      <w:r w:rsidR="00B60466" w:rsidRPr="001B4E27">
        <w:rPr>
          <w:lang w:val="en-US"/>
        </w:rPr>
        <w:t xml:space="preserve">, B., </w:t>
      </w:r>
      <w:proofErr w:type="spellStart"/>
      <w:r w:rsidR="00B60466" w:rsidRPr="001B4E27">
        <w:rPr>
          <w:lang w:val="en-US"/>
        </w:rPr>
        <w:t>Musso</w:t>
      </w:r>
      <w:proofErr w:type="spellEnd"/>
      <w:r w:rsidR="00B60466" w:rsidRPr="001B4E27">
        <w:rPr>
          <w:lang w:val="en-US"/>
        </w:rPr>
        <w:t xml:space="preserve">, A., Van de Voorde, E., Vanelslander T. and Woodburn, A., </w:t>
      </w:r>
      <w:r w:rsidR="00B60466" w:rsidRPr="001B4E27">
        <w:rPr>
          <w:b/>
          <w:lang w:val="en-US"/>
        </w:rPr>
        <w:t>Development of rail freight in Europe: What regulation can and cannot do</w:t>
      </w:r>
      <w:r w:rsidR="00B60466" w:rsidRPr="001B4E27">
        <w:rPr>
          <w:lang w:val="en-US"/>
        </w:rPr>
        <w:t xml:space="preserve">, </w:t>
      </w:r>
      <w:proofErr w:type="spellStart"/>
      <w:r w:rsidR="00B60466" w:rsidRPr="001B4E27">
        <w:rPr>
          <w:lang w:val="en-US"/>
        </w:rPr>
        <w:t>CERRE</w:t>
      </w:r>
      <w:proofErr w:type="spellEnd"/>
      <w:r w:rsidR="00B60466" w:rsidRPr="001B4E27">
        <w:rPr>
          <w:lang w:val="en-US"/>
        </w:rPr>
        <w:t>, 2014</w:t>
      </w:r>
    </w:p>
    <w:p w:rsidR="00C7078D" w:rsidRPr="001B4E27" w:rsidRDefault="00C7078D" w:rsidP="00723135">
      <w:pPr>
        <w:ind w:right="-2"/>
        <w:jc w:val="both"/>
        <w:rPr>
          <w:lang w:val="en-US"/>
        </w:rPr>
      </w:pPr>
      <w:r w:rsidRPr="001B4E27">
        <w:rPr>
          <w:lang w:val="en-US"/>
        </w:rPr>
        <w:t xml:space="preserve">European Commission, </w:t>
      </w:r>
      <w:r w:rsidRPr="001B4E27">
        <w:rPr>
          <w:b/>
          <w:lang w:val="en-US"/>
        </w:rPr>
        <w:t>Freight transport logistics in Europe</w:t>
      </w:r>
      <w:r w:rsidRPr="001B4E27">
        <w:rPr>
          <w:lang w:val="en-US"/>
        </w:rPr>
        <w:t xml:space="preserve">, Communication </w:t>
      </w:r>
      <w:proofErr w:type="gramStart"/>
      <w:r w:rsidRPr="001B4E27">
        <w:rPr>
          <w:lang w:val="en-US"/>
        </w:rPr>
        <w:t>COM(</w:t>
      </w:r>
      <w:proofErr w:type="gramEnd"/>
      <w:r w:rsidRPr="001B4E27">
        <w:rPr>
          <w:lang w:val="en-US"/>
        </w:rPr>
        <w:t>2006)</w:t>
      </w:r>
    </w:p>
    <w:p w:rsidR="00C7078D" w:rsidRPr="001B4E27" w:rsidRDefault="00C7078D" w:rsidP="00723135">
      <w:pPr>
        <w:ind w:right="-2"/>
        <w:jc w:val="both"/>
        <w:rPr>
          <w:lang w:val="en-US"/>
        </w:rPr>
      </w:pPr>
      <w:r w:rsidRPr="001B4E27">
        <w:rPr>
          <w:lang w:val="en-US"/>
        </w:rPr>
        <w:t>336 final, 2006</w:t>
      </w:r>
    </w:p>
    <w:p w:rsidR="00C7078D" w:rsidRPr="001B4E27" w:rsidRDefault="00B60466" w:rsidP="00723135">
      <w:pPr>
        <w:ind w:right="-2"/>
        <w:jc w:val="both"/>
        <w:rPr>
          <w:lang w:val="en-US"/>
        </w:rPr>
      </w:pPr>
      <w:r w:rsidRPr="001B4E27">
        <w:rPr>
          <w:lang w:val="en-US"/>
        </w:rPr>
        <w:t>Euro</w:t>
      </w:r>
      <w:r w:rsidRPr="001B4E27">
        <w:rPr>
          <w:spacing w:val="7"/>
          <w:lang w:val="en-US"/>
        </w:rPr>
        <w:t>p</w:t>
      </w:r>
      <w:r w:rsidRPr="001B4E27">
        <w:rPr>
          <w:lang w:val="en-US"/>
        </w:rPr>
        <w:t>ean</w:t>
      </w:r>
      <w:r w:rsidRPr="001B4E27">
        <w:rPr>
          <w:spacing w:val="45"/>
          <w:lang w:val="en-US"/>
        </w:rPr>
        <w:t xml:space="preserve"> </w:t>
      </w:r>
      <w:r w:rsidRPr="001B4E27">
        <w:rPr>
          <w:lang w:val="en-US"/>
        </w:rPr>
        <w:t>Commi</w:t>
      </w:r>
      <w:r w:rsidRPr="001B4E27">
        <w:rPr>
          <w:spacing w:val="1"/>
          <w:lang w:val="en-US"/>
        </w:rPr>
        <w:t>s</w:t>
      </w:r>
      <w:r w:rsidRPr="001B4E27">
        <w:rPr>
          <w:lang w:val="en-US"/>
        </w:rPr>
        <w:t>sion</w:t>
      </w:r>
      <w:r w:rsidRPr="001B4E27">
        <w:rPr>
          <w:spacing w:val="10"/>
          <w:lang w:val="en-US"/>
        </w:rPr>
        <w:t xml:space="preserve">, </w:t>
      </w:r>
      <w:r w:rsidRPr="001B4E27">
        <w:rPr>
          <w:b/>
          <w:spacing w:val="-12"/>
          <w:lang w:val="en-US"/>
        </w:rPr>
        <w:t>Ro</w:t>
      </w:r>
      <w:r w:rsidR="004F5DBD" w:rsidRPr="001B4E27">
        <w:rPr>
          <w:b/>
          <w:lang w:val="en-US"/>
        </w:rPr>
        <w:t xml:space="preserve">admap </w:t>
      </w:r>
      <w:r w:rsidRPr="001B4E27">
        <w:rPr>
          <w:b/>
          <w:lang w:val="en-US"/>
        </w:rPr>
        <w:t>to</w:t>
      </w:r>
      <w:r w:rsidRPr="001B4E27">
        <w:rPr>
          <w:b/>
          <w:spacing w:val="35"/>
          <w:lang w:val="en-US"/>
        </w:rPr>
        <w:t xml:space="preserve"> </w:t>
      </w:r>
      <w:r w:rsidRPr="001B4E27">
        <w:rPr>
          <w:b/>
          <w:lang w:val="en-US"/>
        </w:rPr>
        <w:t>a</w:t>
      </w:r>
      <w:r w:rsidRPr="001B4E27">
        <w:rPr>
          <w:b/>
          <w:spacing w:val="40"/>
          <w:lang w:val="en-US"/>
        </w:rPr>
        <w:t xml:space="preserve"> </w:t>
      </w:r>
      <w:r w:rsidRPr="001B4E27">
        <w:rPr>
          <w:b/>
          <w:lang w:val="en-US"/>
        </w:rPr>
        <w:t>Single</w:t>
      </w:r>
      <w:r w:rsidRPr="001B4E27">
        <w:rPr>
          <w:b/>
          <w:spacing w:val="20"/>
          <w:lang w:val="en-US"/>
        </w:rPr>
        <w:t xml:space="preserve"> </w:t>
      </w:r>
      <w:r w:rsidRPr="001B4E27">
        <w:rPr>
          <w:b/>
          <w:lang w:val="en-US"/>
        </w:rPr>
        <w:t>Eu</w:t>
      </w:r>
      <w:r w:rsidRPr="001B4E27">
        <w:rPr>
          <w:b/>
          <w:spacing w:val="-12"/>
          <w:lang w:val="en-US"/>
        </w:rPr>
        <w:t>r</w:t>
      </w:r>
      <w:r w:rsidRPr="001B4E27">
        <w:rPr>
          <w:b/>
          <w:lang w:val="en-US"/>
        </w:rPr>
        <w:t>o</w:t>
      </w:r>
      <w:r w:rsidRPr="001B4E27">
        <w:rPr>
          <w:b/>
          <w:spacing w:val="-12"/>
          <w:lang w:val="en-US"/>
        </w:rPr>
        <w:t>pe</w:t>
      </w:r>
      <w:r w:rsidRPr="001B4E27">
        <w:rPr>
          <w:b/>
          <w:lang w:val="en-US"/>
        </w:rPr>
        <w:t>an</w:t>
      </w:r>
      <w:r w:rsidRPr="001B4E27">
        <w:rPr>
          <w:b/>
          <w:spacing w:val="22"/>
          <w:lang w:val="en-US"/>
        </w:rPr>
        <w:t xml:space="preserve"> </w:t>
      </w:r>
      <w:r w:rsidRPr="001B4E27">
        <w:rPr>
          <w:b/>
          <w:spacing w:val="-20"/>
          <w:w w:val="110"/>
          <w:lang w:val="en-US"/>
        </w:rPr>
        <w:t>T</w:t>
      </w:r>
      <w:r w:rsidRPr="001B4E27">
        <w:rPr>
          <w:b/>
          <w:spacing w:val="-13"/>
          <w:w w:val="110"/>
          <w:lang w:val="en-US"/>
        </w:rPr>
        <w:t>r</w:t>
      </w:r>
      <w:r w:rsidRPr="001B4E27">
        <w:rPr>
          <w:b/>
          <w:w w:val="110"/>
          <w:lang w:val="en-US"/>
        </w:rPr>
        <w:t>ans</w:t>
      </w:r>
      <w:r w:rsidRPr="001B4E27">
        <w:rPr>
          <w:b/>
          <w:spacing w:val="-13"/>
          <w:w w:val="110"/>
          <w:lang w:val="en-US"/>
        </w:rPr>
        <w:t>p</w:t>
      </w:r>
      <w:r w:rsidRPr="001B4E27">
        <w:rPr>
          <w:b/>
          <w:w w:val="110"/>
          <w:lang w:val="en-US"/>
        </w:rPr>
        <w:t>ort</w:t>
      </w:r>
      <w:r w:rsidRPr="001B4E27">
        <w:rPr>
          <w:b/>
          <w:spacing w:val="27"/>
          <w:w w:val="110"/>
          <w:lang w:val="en-US"/>
        </w:rPr>
        <w:t xml:space="preserve"> </w:t>
      </w:r>
      <w:r w:rsidRPr="001B4E27">
        <w:rPr>
          <w:b/>
          <w:spacing w:val="-6"/>
          <w:lang w:val="en-US"/>
        </w:rPr>
        <w:t>A</w:t>
      </w:r>
      <w:r w:rsidRPr="001B4E27">
        <w:rPr>
          <w:b/>
          <w:spacing w:val="-12"/>
          <w:lang w:val="en-US"/>
        </w:rPr>
        <w:t>re</w:t>
      </w:r>
      <w:r w:rsidRPr="001B4E27">
        <w:rPr>
          <w:b/>
          <w:lang w:val="en-US"/>
        </w:rPr>
        <w:t xml:space="preserve">a: </w:t>
      </w:r>
      <w:r w:rsidRPr="001B4E27">
        <w:rPr>
          <w:b/>
          <w:spacing w:val="3"/>
          <w:lang w:val="en-US"/>
        </w:rPr>
        <w:t xml:space="preserve"> </w:t>
      </w:r>
      <w:r w:rsidRPr="001B4E27">
        <w:rPr>
          <w:b/>
          <w:spacing w:val="-18"/>
          <w:lang w:val="en-US"/>
        </w:rPr>
        <w:t>T</w:t>
      </w:r>
      <w:r w:rsidRPr="001B4E27">
        <w:rPr>
          <w:b/>
          <w:lang w:val="en-US"/>
        </w:rPr>
        <w:t>owa</w:t>
      </w:r>
      <w:r w:rsidRPr="001B4E27">
        <w:rPr>
          <w:b/>
          <w:spacing w:val="-12"/>
          <w:lang w:val="en-US"/>
        </w:rPr>
        <w:t>r</w:t>
      </w:r>
      <w:r w:rsidRPr="001B4E27">
        <w:rPr>
          <w:b/>
          <w:lang w:val="en-US"/>
        </w:rPr>
        <w:t>ds</w:t>
      </w:r>
      <w:r w:rsidRPr="001B4E27">
        <w:rPr>
          <w:b/>
          <w:spacing w:val="57"/>
          <w:lang w:val="en-US"/>
        </w:rPr>
        <w:t xml:space="preserve"> </w:t>
      </w:r>
      <w:r w:rsidRPr="001B4E27">
        <w:rPr>
          <w:b/>
          <w:lang w:val="en-US"/>
        </w:rPr>
        <w:t>a</w:t>
      </w:r>
      <w:r w:rsidRPr="001B4E27">
        <w:rPr>
          <w:b/>
          <w:spacing w:val="39"/>
          <w:lang w:val="en-US"/>
        </w:rPr>
        <w:t xml:space="preserve"> </w:t>
      </w:r>
      <w:r w:rsidRPr="001B4E27">
        <w:rPr>
          <w:b/>
          <w:spacing w:val="-12"/>
          <w:lang w:val="en-US"/>
        </w:rPr>
        <w:t>c</w:t>
      </w:r>
      <w:r w:rsidRPr="001B4E27">
        <w:rPr>
          <w:b/>
          <w:lang w:val="en-US"/>
        </w:rPr>
        <w:t>om</w:t>
      </w:r>
      <w:r w:rsidRPr="001B4E27">
        <w:rPr>
          <w:b/>
          <w:spacing w:val="-12"/>
          <w:lang w:val="en-US"/>
        </w:rPr>
        <w:t>p</w:t>
      </w:r>
      <w:r w:rsidRPr="001B4E27">
        <w:rPr>
          <w:b/>
          <w:lang w:val="en-US"/>
        </w:rPr>
        <w:t>etitive</w:t>
      </w:r>
      <w:r w:rsidRPr="001B4E27">
        <w:rPr>
          <w:b/>
          <w:spacing w:val="45"/>
          <w:lang w:val="en-US"/>
        </w:rPr>
        <w:t xml:space="preserve"> </w:t>
      </w:r>
      <w:r w:rsidRPr="001B4E27">
        <w:rPr>
          <w:b/>
          <w:lang w:val="en-US"/>
        </w:rPr>
        <w:t>and</w:t>
      </w:r>
      <w:r w:rsidRPr="001B4E27">
        <w:rPr>
          <w:b/>
          <w:spacing w:val="50"/>
          <w:lang w:val="en-US"/>
        </w:rPr>
        <w:t xml:space="preserve"> </w:t>
      </w:r>
      <w:r w:rsidRPr="001B4E27">
        <w:rPr>
          <w:b/>
          <w:spacing w:val="-12"/>
          <w:w w:val="123"/>
          <w:lang w:val="en-US"/>
        </w:rPr>
        <w:t>r</w:t>
      </w:r>
      <w:r w:rsidRPr="001B4E27">
        <w:rPr>
          <w:b/>
          <w:w w:val="105"/>
          <w:lang w:val="en-US"/>
        </w:rPr>
        <w:t>esou</w:t>
      </w:r>
      <w:r w:rsidRPr="001B4E27">
        <w:rPr>
          <w:b/>
          <w:spacing w:val="-12"/>
          <w:w w:val="105"/>
          <w:lang w:val="en-US"/>
        </w:rPr>
        <w:t>r</w:t>
      </w:r>
      <w:r w:rsidRPr="001B4E27">
        <w:rPr>
          <w:b/>
          <w:spacing w:val="-12"/>
          <w:w w:val="101"/>
          <w:lang w:val="en-US"/>
        </w:rPr>
        <w:t>c</w:t>
      </w:r>
      <w:r w:rsidRPr="001B4E27">
        <w:rPr>
          <w:b/>
          <w:w w:val="101"/>
          <w:lang w:val="en-US"/>
        </w:rPr>
        <w:t xml:space="preserve">e </w:t>
      </w:r>
      <w:r w:rsidRPr="001B4E27">
        <w:rPr>
          <w:b/>
          <w:lang w:val="en-US"/>
        </w:rPr>
        <w:t>efficient</w:t>
      </w:r>
      <w:r w:rsidRPr="001B4E27">
        <w:rPr>
          <w:b/>
          <w:spacing w:val="32"/>
          <w:lang w:val="en-US"/>
        </w:rPr>
        <w:t xml:space="preserve"> </w:t>
      </w:r>
      <w:r w:rsidRPr="001B4E27">
        <w:rPr>
          <w:b/>
          <w:w w:val="110"/>
          <w:lang w:val="en-US"/>
        </w:rPr>
        <w:t>t</w:t>
      </w:r>
      <w:r w:rsidRPr="001B4E27">
        <w:rPr>
          <w:b/>
          <w:spacing w:val="-13"/>
          <w:w w:val="110"/>
          <w:lang w:val="en-US"/>
        </w:rPr>
        <w:t>r</w:t>
      </w:r>
      <w:r w:rsidRPr="001B4E27">
        <w:rPr>
          <w:b/>
          <w:w w:val="110"/>
          <w:lang w:val="en-US"/>
        </w:rPr>
        <w:t>ans</w:t>
      </w:r>
      <w:r w:rsidRPr="001B4E27">
        <w:rPr>
          <w:b/>
          <w:spacing w:val="-13"/>
          <w:w w:val="110"/>
          <w:lang w:val="en-US"/>
        </w:rPr>
        <w:t>p</w:t>
      </w:r>
      <w:r w:rsidRPr="001B4E27">
        <w:rPr>
          <w:b/>
          <w:w w:val="110"/>
          <w:lang w:val="en-US"/>
        </w:rPr>
        <w:t>ort</w:t>
      </w:r>
      <w:r w:rsidRPr="001B4E27">
        <w:rPr>
          <w:b/>
          <w:spacing w:val="20"/>
          <w:w w:val="110"/>
          <w:lang w:val="en-US"/>
        </w:rPr>
        <w:t xml:space="preserve"> </w:t>
      </w:r>
      <w:r w:rsidRPr="001B4E27">
        <w:rPr>
          <w:b/>
          <w:lang w:val="en-US"/>
        </w:rPr>
        <w:t>system</w:t>
      </w:r>
      <w:r w:rsidRPr="001B4E27">
        <w:rPr>
          <w:lang w:val="en-US"/>
        </w:rPr>
        <w:t>, European Commission,</w:t>
      </w:r>
      <w:r w:rsidRPr="001B4E27">
        <w:rPr>
          <w:spacing w:val="36"/>
          <w:lang w:val="en-US"/>
        </w:rPr>
        <w:t xml:space="preserve"> </w:t>
      </w:r>
      <w:r w:rsidRPr="001B4E27">
        <w:rPr>
          <w:lang w:val="en-US"/>
        </w:rPr>
        <w:t>White</w:t>
      </w:r>
      <w:r w:rsidRPr="001B4E27">
        <w:rPr>
          <w:spacing w:val="60"/>
          <w:lang w:val="en-US"/>
        </w:rPr>
        <w:t xml:space="preserve"> </w:t>
      </w:r>
      <w:r w:rsidRPr="001B4E27">
        <w:rPr>
          <w:spacing w:val="-7"/>
          <w:lang w:val="en-US"/>
        </w:rPr>
        <w:t>P</w:t>
      </w:r>
      <w:r w:rsidRPr="001B4E27">
        <w:rPr>
          <w:lang w:val="en-US"/>
        </w:rPr>
        <w:t>a</w:t>
      </w:r>
      <w:r w:rsidRPr="001B4E27">
        <w:rPr>
          <w:spacing w:val="7"/>
          <w:lang w:val="en-US"/>
        </w:rPr>
        <w:t>p</w:t>
      </w:r>
      <w:r w:rsidR="004F5DBD" w:rsidRPr="001B4E27">
        <w:rPr>
          <w:lang w:val="en-US"/>
        </w:rPr>
        <w:t xml:space="preserve">er </w:t>
      </w:r>
      <w:proofErr w:type="gramStart"/>
      <w:r w:rsidRPr="001B4E27">
        <w:rPr>
          <w:lang w:val="en-US"/>
        </w:rPr>
        <w:t>COM(</w:t>
      </w:r>
      <w:proofErr w:type="gramEnd"/>
      <w:r w:rsidRPr="001B4E27">
        <w:rPr>
          <w:lang w:val="en-US"/>
        </w:rPr>
        <w:t>2011)</w:t>
      </w:r>
      <w:r w:rsidRPr="001B4E27">
        <w:rPr>
          <w:spacing w:val="43"/>
          <w:lang w:val="en-US"/>
        </w:rPr>
        <w:t xml:space="preserve"> </w:t>
      </w:r>
      <w:r w:rsidRPr="001B4E27">
        <w:rPr>
          <w:lang w:val="en-US"/>
        </w:rPr>
        <w:t>144</w:t>
      </w:r>
      <w:r w:rsidRPr="001B4E27">
        <w:rPr>
          <w:spacing w:val="7"/>
          <w:lang w:val="en-US"/>
        </w:rPr>
        <w:t xml:space="preserve"> </w:t>
      </w:r>
      <w:r w:rsidRPr="001B4E27">
        <w:rPr>
          <w:lang w:val="en-US"/>
        </w:rPr>
        <w:t>final, 2011</w:t>
      </w:r>
    </w:p>
    <w:p w:rsidR="00C7078D" w:rsidRPr="001B4E27" w:rsidRDefault="00C7078D" w:rsidP="00723135">
      <w:pPr>
        <w:ind w:right="-2"/>
        <w:jc w:val="both"/>
        <w:rPr>
          <w:position w:val="-1"/>
          <w:lang w:val="en-US"/>
        </w:rPr>
      </w:pPr>
      <w:r w:rsidRPr="001B4E27">
        <w:rPr>
          <w:lang w:val="en-US"/>
        </w:rPr>
        <w:t xml:space="preserve">European Commission, </w:t>
      </w:r>
      <w:r w:rsidRPr="001B4E27">
        <w:rPr>
          <w:b/>
          <w:lang w:val="en-US"/>
        </w:rPr>
        <w:t>EU</w:t>
      </w:r>
      <w:r w:rsidRPr="001B4E27">
        <w:rPr>
          <w:b/>
          <w:spacing w:val="9"/>
          <w:lang w:val="en-US"/>
        </w:rPr>
        <w:t xml:space="preserve"> </w:t>
      </w:r>
      <w:r w:rsidRPr="001B4E27">
        <w:rPr>
          <w:b/>
          <w:w w:val="110"/>
          <w:lang w:val="en-US"/>
        </w:rPr>
        <w:t>t</w:t>
      </w:r>
      <w:r w:rsidRPr="001B4E27">
        <w:rPr>
          <w:b/>
          <w:spacing w:val="-13"/>
          <w:w w:val="110"/>
          <w:lang w:val="en-US"/>
        </w:rPr>
        <w:t>r</w:t>
      </w:r>
      <w:r w:rsidRPr="001B4E27">
        <w:rPr>
          <w:b/>
          <w:w w:val="110"/>
          <w:lang w:val="en-US"/>
        </w:rPr>
        <w:t>ans</w:t>
      </w:r>
      <w:r w:rsidRPr="001B4E27">
        <w:rPr>
          <w:b/>
          <w:spacing w:val="-13"/>
          <w:w w:val="110"/>
          <w:lang w:val="en-US"/>
        </w:rPr>
        <w:t>p</w:t>
      </w:r>
      <w:r w:rsidRPr="001B4E27">
        <w:rPr>
          <w:b/>
          <w:w w:val="110"/>
          <w:lang w:val="en-US"/>
        </w:rPr>
        <w:t>ort</w:t>
      </w:r>
      <w:r w:rsidRPr="001B4E27">
        <w:rPr>
          <w:b/>
          <w:spacing w:val="55"/>
          <w:w w:val="110"/>
          <w:lang w:val="en-US"/>
        </w:rPr>
        <w:t xml:space="preserve"> </w:t>
      </w:r>
      <w:r w:rsidRPr="001B4E27">
        <w:rPr>
          <w:b/>
          <w:lang w:val="en-US"/>
        </w:rPr>
        <w:t>in</w:t>
      </w:r>
      <w:r w:rsidRPr="001B4E27">
        <w:rPr>
          <w:b/>
          <w:spacing w:val="14"/>
          <w:lang w:val="en-US"/>
        </w:rPr>
        <w:t xml:space="preserve"> </w:t>
      </w:r>
      <w:r w:rsidRPr="001B4E27">
        <w:rPr>
          <w:b/>
          <w:lang w:val="en-US"/>
        </w:rPr>
        <w:t>figu</w:t>
      </w:r>
      <w:r w:rsidRPr="001B4E27">
        <w:rPr>
          <w:b/>
          <w:spacing w:val="-12"/>
          <w:lang w:val="en-US"/>
        </w:rPr>
        <w:t>r</w:t>
      </w:r>
      <w:r w:rsidRPr="001B4E27">
        <w:rPr>
          <w:b/>
          <w:lang w:val="en-US"/>
        </w:rPr>
        <w:t>es:</w:t>
      </w:r>
      <w:r w:rsidRPr="001B4E27">
        <w:rPr>
          <w:b/>
          <w:spacing w:val="59"/>
          <w:lang w:val="en-US"/>
        </w:rPr>
        <w:t xml:space="preserve"> </w:t>
      </w:r>
      <w:r w:rsidRPr="001B4E27">
        <w:rPr>
          <w:b/>
          <w:w w:val="108"/>
          <w:lang w:val="en-US"/>
        </w:rPr>
        <w:t>Statistical</w:t>
      </w:r>
      <w:r w:rsidRPr="001B4E27">
        <w:rPr>
          <w:b/>
          <w:spacing w:val="53"/>
          <w:w w:val="108"/>
          <w:lang w:val="en-US"/>
        </w:rPr>
        <w:t xml:space="preserve"> </w:t>
      </w:r>
      <w:r w:rsidRPr="001B4E27">
        <w:rPr>
          <w:b/>
          <w:spacing w:val="-6"/>
          <w:lang w:val="en-US"/>
        </w:rPr>
        <w:t>P</w:t>
      </w:r>
      <w:r w:rsidRPr="001B4E27">
        <w:rPr>
          <w:b/>
          <w:spacing w:val="7"/>
          <w:lang w:val="en-US"/>
        </w:rPr>
        <w:t>o</w:t>
      </w:r>
      <w:r w:rsidRPr="001B4E27">
        <w:rPr>
          <w:b/>
          <w:spacing w:val="-6"/>
          <w:lang w:val="en-US"/>
        </w:rPr>
        <w:t>ck</w:t>
      </w:r>
      <w:r w:rsidRPr="001B4E27">
        <w:rPr>
          <w:b/>
          <w:lang w:val="en-US"/>
        </w:rPr>
        <w:t>et</w:t>
      </w:r>
      <w:r w:rsidRPr="001B4E27">
        <w:rPr>
          <w:b/>
          <w:spacing w:val="7"/>
          <w:lang w:val="en-US"/>
        </w:rPr>
        <w:t>bo</w:t>
      </w:r>
      <w:r w:rsidRPr="001B4E27">
        <w:rPr>
          <w:b/>
          <w:lang w:val="en-US"/>
        </w:rPr>
        <w:t>ok 2014</w:t>
      </w:r>
      <w:r w:rsidRPr="001B4E27">
        <w:rPr>
          <w:lang w:val="en-US"/>
        </w:rPr>
        <w:t xml:space="preserve">, </w:t>
      </w:r>
      <w:r w:rsidRPr="001B4E27">
        <w:rPr>
          <w:w w:val="106"/>
          <w:lang w:val="en-US"/>
        </w:rPr>
        <w:t>Publications</w:t>
      </w:r>
      <w:r w:rsidRPr="001B4E27">
        <w:rPr>
          <w:spacing w:val="61"/>
          <w:w w:val="106"/>
          <w:lang w:val="en-US"/>
        </w:rPr>
        <w:t xml:space="preserve"> </w:t>
      </w:r>
      <w:r w:rsidRPr="001B4E27">
        <w:rPr>
          <w:lang w:val="en-US"/>
        </w:rPr>
        <w:t>Office</w:t>
      </w:r>
      <w:r w:rsidRPr="001B4E27">
        <w:rPr>
          <w:spacing w:val="28"/>
          <w:lang w:val="en-US"/>
        </w:rPr>
        <w:t xml:space="preserve"> </w:t>
      </w:r>
      <w:r w:rsidRPr="001B4E27">
        <w:rPr>
          <w:lang w:val="en-US"/>
        </w:rPr>
        <w:t>of</w:t>
      </w:r>
      <w:r w:rsidRPr="001B4E27">
        <w:rPr>
          <w:spacing w:val="44"/>
          <w:lang w:val="en-US"/>
        </w:rPr>
        <w:t xml:space="preserve"> </w:t>
      </w:r>
      <w:r w:rsidRPr="001B4E27">
        <w:rPr>
          <w:w w:val="110"/>
          <w:lang w:val="en-US"/>
        </w:rPr>
        <w:t>the</w:t>
      </w:r>
      <w:r w:rsidRPr="001B4E27">
        <w:rPr>
          <w:lang w:val="en-US"/>
        </w:rPr>
        <w:t xml:space="preserve"> </w:t>
      </w:r>
      <w:r w:rsidRPr="001B4E27">
        <w:rPr>
          <w:position w:val="-1"/>
          <w:lang w:val="en-US"/>
        </w:rPr>
        <w:t>Euro</w:t>
      </w:r>
      <w:r w:rsidRPr="001B4E27">
        <w:rPr>
          <w:spacing w:val="7"/>
          <w:position w:val="-1"/>
          <w:lang w:val="en-US"/>
        </w:rPr>
        <w:t>p</w:t>
      </w:r>
      <w:r w:rsidRPr="001B4E27">
        <w:rPr>
          <w:position w:val="-1"/>
          <w:lang w:val="en-US"/>
        </w:rPr>
        <w:t>ean Union,</w:t>
      </w:r>
      <w:r w:rsidRPr="001B4E27">
        <w:rPr>
          <w:spacing w:val="39"/>
          <w:position w:val="-1"/>
          <w:lang w:val="en-US"/>
        </w:rPr>
        <w:t xml:space="preserve"> </w:t>
      </w:r>
      <w:r w:rsidRPr="001B4E27">
        <w:rPr>
          <w:position w:val="-1"/>
          <w:lang w:val="en-US"/>
        </w:rPr>
        <w:t>Luxe</w:t>
      </w:r>
      <w:r w:rsidRPr="001B4E27">
        <w:rPr>
          <w:spacing w:val="-6"/>
          <w:position w:val="-1"/>
          <w:lang w:val="en-US"/>
        </w:rPr>
        <w:t>m</w:t>
      </w:r>
      <w:r w:rsidRPr="001B4E27">
        <w:rPr>
          <w:position w:val="-1"/>
          <w:lang w:val="en-US"/>
        </w:rPr>
        <w:t xml:space="preserve">burg, </w:t>
      </w:r>
      <w:proofErr w:type="spellStart"/>
      <w:r w:rsidRPr="001B4E27">
        <w:rPr>
          <w:position w:val="-1"/>
          <w:lang w:val="en-US"/>
        </w:rPr>
        <w:t>2014</w:t>
      </w:r>
      <w:r w:rsidR="00646A3E" w:rsidRPr="001B4E27">
        <w:rPr>
          <w:position w:val="-1"/>
          <w:lang w:val="en-US"/>
        </w:rPr>
        <w:t>a</w:t>
      </w:r>
      <w:proofErr w:type="spellEnd"/>
    </w:p>
    <w:p w:rsidR="00646A3E" w:rsidRPr="001B4E27" w:rsidRDefault="00723135" w:rsidP="00723135">
      <w:pPr>
        <w:ind w:right="-2"/>
        <w:jc w:val="both"/>
        <w:rPr>
          <w:lang w:val="en-US"/>
        </w:rPr>
      </w:pPr>
      <w:r w:rsidRPr="001B4E27">
        <w:rPr>
          <w:lang w:val="en-US"/>
        </w:rPr>
        <w:t xml:space="preserve">European Commission, </w:t>
      </w:r>
      <w:r w:rsidRPr="001B4E27">
        <w:rPr>
          <w:b/>
          <w:lang w:val="en-US"/>
        </w:rPr>
        <w:t>Investment for jobs and growth, promoting development an</w:t>
      </w:r>
      <w:r w:rsidR="004F5DBD" w:rsidRPr="001B4E27">
        <w:rPr>
          <w:b/>
          <w:lang w:val="en-US"/>
        </w:rPr>
        <w:t>d good governance in EU regions and</w:t>
      </w:r>
      <w:r w:rsidRPr="001B4E27">
        <w:rPr>
          <w:b/>
          <w:lang w:val="en-US"/>
        </w:rPr>
        <w:t xml:space="preserve"> cities</w:t>
      </w:r>
      <w:r w:rsidR="004F5DBD" w:rsidRPr="001B4E27">
        <w:rPr>
          <w:lang w:val="en-US"/>
        </w:rPr>
        <w:t xml:space="preserve">, </w:t>
      </w:r>
      <w:proofErr w:type="spellStart"/>
      <w:proofErr w:type="gramStart"/>
      <w:r w:rsidRPr="001B4E27">
        <w:rPr>
          <w:lang w:val="en-US"/>
        </w:rPr>
        <w:t>url</w:t>
      </w:r>
      <w:proofErr w:type="spellEnd"/>
      <w:proofErr w:type="gramEnd"/>
      <w:r w:rsidRPr="001B4E27">
        <w:rPr>
          <w:lang w:val="en-US"/>
        </w:rPr>
        <w:t xml:space="preserve">: </w:t>
      </w:r>
      <w:hyperlink r:id="rId11">
        <w:r w:rsidRPr="001B4E27">
          <w:rPr>
            <w:lang w:val="en-US"/>
          </w:rPr>
          <w:t>http://</w:t>
        </w:r>
        <w:proofErr w:type="spellStart"/>
        <w:r w:rsidRPr="001B4E27">
          <w:rPr>
            <w:lang w:val="en-US"/>
          </w:rPr>
          <w:t>ec.europa.eu</w:t>
        </w:r>
        <w:proofErr w:type="spellEnd"/>
        <w:r w:rsidRPr="001B4E27">
          <w:rPr>
            <w:lang w:val="en-US"/>
          </w:rPr>
          <w:t>/regional_</w:t>
        </w:r>
      </w:hyperlink>
      <w:hyperlink r:id="rId12">
        <w:r w:rsidRPr="001B4E27">
          <w:rPr>
            <w:lang w:val="en-US"/>
          </w:rPr>
          <w:t xml:space="preserve"> policy/sources/</w:t>
        </w:r>
        <w:proofErr w:type="spellStart"/>
        <w:r w:rsidRPr="001B4E27">
          <w:rPr>
            <w:lang w:val="en-US"/>
          </w:rPr>
          <w:t>docoffic</w:t>
        </w:r>
        <w:proofErr w:type="spellEnd"/>
        <w:r w:rsidRPr="001B4E27">
          <w:rPr>
            <w:lang w:val="en-US"/>
          </w:rPr>
          <w:t>/official/reports/</w:t>
        </w:r>
        <w:proofErr w:type="spellStart"/>
        <w:r w:rsidRPr="001B4E27">
          <w:rPr>
            <w:lang w:val="en-US"/>
          </w:rPr>
          <w:t>cohesion6</w:t>
        </w:r>
        <w:proofErr w:type="spellEnd"/>
        <w:r w:rsidRPr="001B4E27">
          <w:rPr>
            <w:lang w:val="en-US"/>
          </w:rPr>
          <w:t>/</w:t>
        </w:r>
        <w:proofErr w:type="spellStart"/>
        <w:r w:rsidRPr="001B4E27">
          <w:rPr>
            <w:lang w:val="en-US"/>
          </w:rPr>
          <w:t>6cr_en.pdf</w:t>
        </w:r>
        <w:proofErr w:type="spellEnd"/>
      </w:hyperlink>
      <w:r w:rsidRPr="001B4E27">
        <w:rPr>
          <w:lang w:val="en-US"/>
        </w:rPr>
        <w:t xml:space="preserve">, </w:t>
      </w:r>
      <w:proofErr w:type="spellStart"/>
      <w:r w:rsidRPr="001B4E27">
        <w:rPr>
          <w:lang w:val="en-US"/>
        </w:rPr>
        <w:t>2014b</w:t>
      </w:r>
      <w:proofErr w:type="spellEnd"/>
    </w:p>
    <w:p w:rsidR="00EC65E7" w:rsidRPr="001B4E27" w:rsidRDefault="00EC65E7" w:rsidP="00723135">
      <w:pPr>
        <w:ind w:right="-2"/>
        <w:jc w:val="both"/>
        <w:rPr>
          <w:lang w:val="en-US"/>
        </w:rPr>
      </w:pPr>
      <w:r w:rsidRPr="001B4E27">
        <w:rPr>
          <w:lang w:val="en-US"/>
        </w:rPr>
        <w:t xml:space="preserve">Eurostat, </w:t>
      </w:r>
      <w:r w:rsidRPr="001B4E27">
        <w:rPr>
          <w:b/>
          <w:lang w:val="en-US"/>
        </w:rPr>
        <w:t>Table 1: Modal split of inland transport</w:t>
      </w:r>
      <w:r w:rsidRPr="001B4E27">
        <w:rPr>
          <w:lang w:val="en-US"/>
        </w:rPr>
        <w:t xml:space="preserve">, </w:t>
      </w:r>
      <w:proofErr w:type="spellStart"/>
      <w:proofErr w:type="gramStart"/>
      <w:r w:rsidRPr="001B4E27">
        <w:rPr>
          <w:lang w:val="en-US"/>
        </w:rPr>
        <w:t>url</w:t>
      </w:r>
      <w:proofErr w:type="spellEnd"/>
      <w:proofErr w:type="gramEnd"/>
      <w:r w:rsidRPr="001B4E27">
        <w:rPr>
          <w:lang w:val="en-US"/>
        </w:rPr>
        <w:t>: http://ec.europa.eu/eurostat/statistics-explained/index.php/File:Table_1_Modal_split_of_inland_transport.png</w:t>
      </w:r>
    </w:p>
    <w:p w:rsidR="00C7078D" w:rsidRPr="001B4E27" w:rsidRDefault="00C7078D" w:rsidP="00723135">
      <w:pPr>
        <w:ind w:right="-2"/>
        <w:jc w:val="both"/>
        <w:rPr>
          <w:lang w:val="en-US"/>
        </w:rPr>
      </w:pPr>
      <w:r w:rsidRPr="001B4E27">
        <w:rPr>
          <w:lang w:val="en-US"/>
        </w:rPr>
        <w:t xml:space="preserve">Flanders Logistics, </w:t>
      </w:r>
      <w:proofErr w:type="spellStart"/>
      <w:r w:rsidRPr="001B4E27">
        <w:rPr>
          <w:b/>
          <w:lang w:val="en-US"/>
        </w:rPr>
        <w:t>Economisch</w:t>
      </w:r>
      <w:proofErr w:type="spellEnd"/>
      <w:r w:rsidRPr="001B4E27">
        <w:rPr>
          <w:b/>
          <w:lang w:val="en-US"/>
        </w:rPr>
        <w:t xml:space="preserve"> </w:t>
      </w:r>
      <w:proofErr w:type="spellStart"/>
      <w:r w:rsidRPr="001B4E27">
        <w:rPr>
          <w:b/>
          <w:lang w:val="en-US"/>
        </w:rPr>
        <w:t>belang</w:t>
      </w:r>
      <w:proofErr w:type="spellEnd"/>
      <w:r w:rsidRPr="001B4E27">
        <w:rPr>
          <w:b/>
          <w:lang w:val="en-US"/>
        </w:rPr>
        <w:t xml:space="preserve"> van de </w:t>
      </w:r>
      <w:proofErr w:type="spellStart"/>
      <w:r w:rsidRPr="001B4E27">
        <w:rPr>
          <w:b/>
          <w:lang w:val="en-US"/>
        </w:rPr>
        <w:t>logistiek</w:t>
      </w:r>
      <w:proofErr w:type="spellEnd"/>
      <w:r w:rsidR="004F5DBD" w:rsidRPr="001B4E27">
        <w:rPr>
          <w:lang w:val="en-US"/>
        </w:rPr>
        <w:t xml:space="preserve">, </w:t>
      </w:r>
      <w:proofErr w:type="spellStart"/>
      <w:proofErr w:type="gramStart"/>
      <w:r w:rsidRPr="001B4E27">
        <w:rPr>
          <w:lang w:val="en-US"/>
        </w:rPr>
        <w:t>url</w:t>
      </w:r>
      <w:proofErr w:type="spellEnd"/>
      <w:proofErr w:type="gramEnd"/>
      <w:r w:rsidRPr="001B4E27">
        <w:rPr>
          <w:lang w:val="en-US"/>
        </w:rPr>
        <w:t xml:space="preserve">: </w:t>
      </w:r>
      <w:hyperlink r:id="rId13">
        <w:r w:rsidRPr="001B4E27">
          <w:rPr>
            <w:lang w:val="en-US"/>
          </w:rPr>
          <w:t>http://</w:t>
        </w:r>
        <w:proofErr w:type="spellStart"/>
        <w:r w:rsidRPr="001B4E27">
          <w:rPr>
            <w:lang w:val="en-US"/>
          </w:rPr>
          <w:t>www.flanderslogistics.be</w:t>
        </w:r>
        <w:proofErr w:type="spellEnd"/>
        <w:r w:rsidRPr="001B4E27">
          <w:rPr>
            <w:lang w:val="en-US"/>
          </w:rPr>
          <w:t>/over-</w:t>
        </w:r>
        <w:proofErr w:type="spellStart"/>
        <w:r w:rsidRPr="001B4E27">
          <w:rPr>
            <w:lang w:val="en-US"/>
          </w:rPr>
          <w:t>fl</w:t>
        </w:r>
        <w:proofErr w:type="spellEnd"/>
        <w:r w:rsidRPr="001B4E27">
          <w:rPr>
            <w:lang w:val="en-US"/>
          </w:rPr>
          <w:t>/</w:t>
        </w:r>
        <w:proofErr w:type="spellStart"/>
        <w:r w:rsidRPr="001B4E27">
          <w:rPr>
            <w:lang w:val="en-US"/>
          </w:rPr>
          <w:t>overfl-thema1.php</w:t>
        </w:r>
        <w:proofErr w:type="spellEnd"/>
      </w:hyperlink>
      <w:r w:rsidRPr="001B4E27">
        <w:rPr>
          <w:lang w:val="en-US"/>
        </w:rPr>
        <w:t>, 2006</w:t>
      </w:r>
    </w:p>
    <w:p w:rsidR="00723135" w:rsidRPr="001B4E27" w:rsidRDefault="00723135" w:rsidP="00723135">
      <w:pPr>
        <w:ind w:right="-2"/>
        <w:jc w:val="both"/>
        <w:rPr>
          <w:lang w:val="en-US"/>
        </w:rPr>
      </w:pPr>
      <w:r w:rsidRPr="001B4E27">
        <w:rPr>
          <w:lang w:val="en-US"/>
        </w:rPr>
        <w:t xml:space="preserve">Finger, M., Personal interview, </w:t>
      </w:r>
      <w:r w:rsidR="0043331A" w:rsidRPr="001B4E27">
        <w:rPr>
          <w:lang w:val="en-US"/>
        </w:rPr>
        <w:t xml:space="preserve">16 </w:t>
      </w:r>
      <w:r w:rsidRPr="001B4E27">
        <w:rPr>
          <w:lang w:val="en-US"/>
        </w:rPr>
        <w:t>December 2014</w:t>
      </w:r>
    </w:p>
    <w:p w:rsidR="00C7078D" w:rsidRPr="001B4E27" w:rsidRDefault="00C7078D" w:rsidP="00723135">
      <w:pPr>
        <w:ind w:right="-2"/>
        <w:jc w:val="both"/>
        <w:rPr>
          <w:lang w:val="en-US"/>
        </w:rPr>
      </w:pPr>
      <w:r w:rsidRPr="001B4E27">
        <w:rPr>
          <w:spacing w:val="-20"/>
          <w:lang w:val="en-US"/>
        </w:rPr>
        <w:t>F</w:t>
      </w:r>
      <w:r w:rsidRPr="001B4E27">
        <w:rPr>
          <w:lang w:val="en-US"/>
        </w:rPr>
        <w:t>ries,</w:t>
      </w:r>
      <w:r w:rsidRPr="001B4E27">
        <w:rPr>
          <w:spacing w:val="37"/>
          <w:lang w:val="en-US"/>
        </w:rPr>
        <w:t xml:space="preserve"> </w:t>
      </w:r>
      <w:r w:rsidRPr="001B4E27">
        <w:rPr>
          <w:lang w:val="en-US"/>
        </w:rPr>
        <w:t>N.</w:t>
      </w:r>
      <w:r w:rsidRPr="001B4E27">
        <w:rPr>
          <w:spacing w:val="16"/>
          <w:lang w:val="en-US"/>
        </w:rPr>
        <w:t xml:space="preserve"> </w:t>
      </w:r>
      <w:r w:rsidRPr="001B4E27">
        <w:rPr>
          <w:lang w:val="en-US"/>
        </w:rPr>
        <w:t>and</w:t>
      </w:r>
      <w:r w:rsidRPr="001B4E27">
        <w:rPr>
          <w:spacing w:val="38"/>
          <w:lang w:val="en-US"/>
        </w:rPr>
        <w:t xml:space="preserve"> </w:t>
      </w:r>
      <w:proofErr w:type="spellStart"/>
      <w:r w:rsidRPr="001B4E27">
        <w:rPr>
          <w:lang w:val="en-US"/>
        </w:rPr>
        <w:t>Hell</w:t>
      </w:r>
      <w:r w:rsidRPr="001B4E27">
        <w:rPr>
          <w:spacing w:val="-6"/>
          <w:lang w:val="en-US"/>
        </w:rPr>
        <w:t>w</w:t>
      </w:r>
      <w:r w:rsidRPr="001B4E27">
        <w:rPr>
          <w:lang w:val="en-US"/>
        </w:rPr>
        <w:t>eg</w:t>
      </w:r>
      <w:proofErr w:type="spellEnd"/>
      <w:r w:rsidRPr="001B4E27">
        <w:rPr>
          <w:lang w:val="en-US"/>
        </w:rPr>
        <w:t>,</w:t>
      </w:r>
      <w:r w:rsidRPr="001B4E27">
        <w:rPr>
          <w:spacing w:val="-6"/>
          <w:lang w:val="en-US"/>
        </w:rPr>
        <w:t xml:space="preserve"> </w:t>
      </w:r>
      <w:r w:rsidRPr="001B4E27">
        <w:rPr>
          <w:lang w:val="en-US"/>
        </w:rPr>
        <w:t>S.</w:t>
      </w:r>
      <w:r w:rsidRPr="001B4E27">
        <w:rPr>
          <w:spacing w:val="10"/>
          <w:lang w:val="en-US"/>
        </w:rPr>
        <w:t xml:space="preserve">, </w:t>
      </w:r>
      <w:proofErr w:type="spellStart"/>
      <w:r w:rsidRPr="001B4E27">
        <w:rPr>
          <w:i/>
          <w:lang w:val="en-US"/>
        </w:rPr>
        <w:t>LCA</w:t>
      </w:r>
      <w:proofErr w:type="spellEnd"/>
      <w:r w:rsidRPr="001B4E27">
        <w:rPr>
          <w:i/>
          <w:spacing w:val="27"/>
          <w:lang w:val="en-US"/>
        </w:rPr>
        <w:t xml:space="preserve"> </w:t>
      </w:r>
      <w:r w:rsidRPr="001B4E27">
        <w:rPr>
          <w:i/>
          <w:lang w:val="en-US"/>
        </w:rPr>
        <w:t>of</w:t>
      </w:r>
      <w:r w:rsidRPr="001B4E27">
        <w:rPr>
          <w:i/>
          <w:spacing w:val="-3"/>
          <w:lang w:val="en-US"/>
        </w:rPr>
        <w:t xml:space="preserve"> </w:t>
      </w:r>
      <w:r w:rsidRPr="001B4E27">
        <w:rPr>
          <w:i/>
          <w:lang w:val="en-US"/>
        </w:rPr>
        <w:t>land-based</w:t>
      </w:r>
      <w:r w:rsidRPr="001B4E27">
        <w:rPr>
          <w:i/>
          <w:spacing w:val="3"/>
          <w:lang w:val="en-US"/>
        </w:rPr>
        <w:t xml:space="preserve"> </w:t>
      </w:r>
      <w:r w:rsidRPr="001B4E27">
        <w:rPr>
          <w:i/>
          <w:lang w:val="en-US"/>
        </w:rPr>
        <w:t>freig</w:t>
      </w:r>
      <w:r w:rsidRPr="001B4E27">
        <w:rPr>
          <w:i/>
          <w:spacing w:val="-6"/>
          <w:lang w:val="en-US"/>
        </w:rPr>
        <w:t>h</w:t>
      </w:r>
      <w:r w:rsidRPr="001B4E27">
        <w:rPr>
          <w:i/>
          <w:w w:val="136"/>
          <w:lang w:val="en-US"/>
        </w:rPr>
        <w:t>t</w:t>
      </w:r>
      <w:r w:rsidRPr="001B4E27">
        <w:rPr>
          <w:i/>
          <w:spacing w:val="9"/>
          <w:lang w:val="en-US"/>
        </w:rPr>
        <w:t xml:space="preserve"> </w:t>
      </w:r>
      <w:r w:rsidRPr="001B4E27">
        <w:rPr>
          <w:i/>
          <w:w w:val="109"/>
          <w:lang w:val="en-US"/>
        </w:rPr>
        <w:t>trans</w:t>
      </w:r>
      <w:r w:rsidRPr="001B4E27">
        <w:rPr>
          <w:i/>
          <w:spacing w:val="9"/>
          <w:w w:val="109"/>
          <w:lang w:val="en-US"/>
        </w:rPr>
        <w:t>p</w:t>
      </w:r>
      <w:r w:rsidRPr="001B4E27">
        <w:rPr>
          <w:i/>
          <w:w w:val="109"/>
          <w:lang w:val="en-US"/>
        </w:rPr>
        <w:t>ortation:</w:t>
      </w:r>
      <w:r w:rsidRPr="001B4E27">
        <w:rPr>
          <w:i/>
          <w:spacing w:val="10"/>
          <w:w w:val="109"/>
          <w:lang w:val="en-US"/>
        </w:rPr>
        <w:t xml:space="preserve"> </w:t>
      </w:r>
      <w:r w:rsidRPr="001B4E27">
        <w:rPr>
          <w:i/>
          <w:lang w:val="en-US"/>
        </w:rPr>
        <w:t>facilitating</w:t>
      </w:r>
      <w:r w:rsidRPr="001B4E27">
        <w:rPr>
          <w:i/>
          <w:spacing w:val="3"/>
          <w:lang w:val="en-US"/>
        </w:rPr>
        <w:t xml:space="preserve"> </w:t>
      </w:r>
      <w:proofErr w:type="spellStart"/>
      <w:r w:rsidRPr="001B4E27">
        <w:rPr>
          <w:i/>
          <w:w w:val="107"/>
          <w:lang w:val="en-US"/>
        </w:rPr>
        <w:t>practi</w:t>
      </w:r>
      <w:proofErr w:type="spellEnd"/>
      <w:r w:rsidRPr="001B4E27">
        <w:rPr>
          <w:i/>
          <w:w w:val="107"/>
          <w:lang w:val="en-US"/>
        </w:rPr>
        <w:t xml:space="preserve">- </w:t>
      </w:r>
      <w:proofErr w:type="spellStart"/>
      <w:r w:rsidRPr="001B4E27">
        <w:rPr>
          <w:i/>
          <w:lang w:val="en-US"/>
        </w:rPr>
        <w:t>cal</w:t>
      </w:r>
      <w:proofErr w:type="spellEnd"/>
      <w:r w:rsidRPr="001B4E27">
        <w:rPr>
          <w:i/>
          <w:spacing w:val="10"/>
          <w:lang w:val="en-US"/>
        </w:rPr>
        <w:t xml:space="preserve"> </w:t>
      </w:r>
      <w:r w:rsidRPr="001B4E27">
        <w:rPr>
          <w:i/>
          <w:lang w:val="en-US"/>
        </w:rPr>
        <w:t>application and</w:t>
      </w:r>
      <w:r w:rsidRPr="001B4E27">
        <w:rPr>
          <w:i/>
          <w:spacing w:val="32"/>
          <w:lang w:val="en-US"/>
        </w:rPr>
        <w:t xml:space="preserve"> </w:t>
      </w:r>
      <w:r w:rsidRPr="001B4E27">
        <w:rPr>
          <w:i/>
          <w:lang w:val="en-US"/>
        </w:rPr>
        <w:t>including</w:t>
      </w:r>
      <w:r w:rsidRPr="001B4E27">
        <w:rPr>
          <w:i/>
          <w:spacing w:val="32"/>
          <w:lang w:val="en-US"/>
        </w:rPr>
        <w:t xml:space="preserve"> </w:t>
      </w:r>
      <w:r w:rsidRPr="001B4E27">
        <w:rPr>
          <w:i/>
          <w:lang w:val="en-US"/>
        </w:rPr>
        <w:t>accide</w:t>
      </w:r>
      <w:r w:rsidRPr="001B4E27">
        <w:rPr>
          <w:i/>
          <w:spacing w:val="-5"/>
          <w:lang w:val="en-US"/>
        </w:rPr>
        <w:t>n</w:t>
      </w:r>
      <w:r w:rsidRPr="001B4E27">
        <w:rPr>
          <w:i/>
          <w:lang w:val="en-US"/>
        </w:rPr>
        <w:t>ts</w:t>
      </w:r>
      <w:r w:rsidRPr="001B4E27">
        <w:rPr>
          <w:i/>
          <w:spacing w:val="40"/>
          <w:lang w:val="en-US"/>
        </w:rPr>
        <w:t xml:space="preserve"> </w:t>
      </w:r>
      <w:r w:rsidRPr="001B4E27">
        <w:rPr>
          <w:i/>
          <w:lang w:val="en-US"/>
        </w:rPr>
        <w:t>in</w:t>
      </w:r>
      <w:r w:rsidRPr="001B4E27">
        <w:rPr>
          <w:i/>
          <w:spacing w:val="11"/>
          <w:lang w:val="en-US"/>
        </w:rPr>
        <w:t xml:space="preserve"> </w:t>
      </w:r>
      <w:proofErr w:type="spellStart"/>
      <w:r w:rsidRPr="001B4E27">
        <w:rPr>
          <w:i/>
          <w:lang w:val="en-US"/>
        </w:rPr>
        <w:t>LCIA</w:t>
      </w:r>
      <w:proofErr w:type="spellEnd"/>
      <w:r w:rsidRPr="001B4E27">
        <w:rPr>
          <w:lang w:val="en-US"/>
        </w:rPr>
        <w:t>,</w:t>
      </w:r>
      <w:r w:rsidRPr="001B4E27">
        <w:rPr>
          <w:spacing w:val="15"/>
          <w:lang w:val="en-US"/>
        </w:rPr>
        <w:t xml:space="preserve"> </w:t>
      </w:r>
      <w:r w:rsidRPr="001B4E27">
        <w:rPr>
          <w:b/>
          <w:lang w:val="en-US"/>
        </w:rPr>
        <w:t>The</w:t>
      </w:r>
      <w:r w:rsidRPr="001B4E27">
        <w:rPr>
          <w:b/>
          <w:spacing w:val="29"/>
          <w:lang w:val="en-US"/>
        </w:rPr>
        <w:t xml:space="preserve"> </w:t>
      </w:r>
      <w:r w:rsidRPr="001B4E27">
        <w:rPr>
          <w:b/>
          <w:w w:val="109"/>
          <w:lang w:val="en-US"/>
        </w:rPr>
        <w:t>International</w:t>
      </w:r>
      <w:r w:rsidRPr="001B4E27">
        <w:rPr>
          <w:b/>
          <w:spacing w:val="5"/>
          <w:w w:val="109"/>
          <w:lang w:val="en-US"/>
        </w:rPr>
        <w:t xml:space="preserve"> </w:t>
      </w:r>
      <w:r w:rsidRPr="001B4E27">
        <w:rPr>
          <w:b/>
          <w:lang w:val="en-US"/>
        </w:rPr>
        <w:t xml:space="preserve">Journal </w:t>
      </w:r>
      <w:r w:rsidRPr="001B4E27">
        <w:rPr>
          <w:b/>
          <w:spacing w:val="21"/>
          <w:lang w:val="en-US"/>
        </w:rPr>
        <w:t xml:space="preserve"> </w:t>
      </w:r>
      <w:r w:rsidRPr="001B4E27">
        <w:rPr>
          <w:b/>
          <w:lang w:val="en-US"/>
        </w:rPr>
        <w:t>of Life</w:t>
      </w:r>
      <w:r w:rsidRPr="001B4E27">
        <w:rPr>
          <w:b/>
          <w:spacing w:val="6"/>
          <w:lang w:val="en-US"/>
        </w:rPr>
        <w:t xml:space="preserve"> </w:t>
      </w:r>
      <w:r w:rsidRPr="001B4E27">
        <w:rPr>
          <w:b/>
          <w:lang w:val="en-US"/>
        </w:rPr>
        <w:t>Cycle Assessment</w:t>
      </w:r>
      <w:r w:rsidRPr="001B4E27">
        <w:rPr>
          <w:lang w:val="en-US"/>
        </w:rPr>
        <w:t>, 19 (3), pp. 546-557, 2014</w:t>
      </w:r>
    </w:p>
    <w:p w:rsidR="005A1CA1" w:rsidRPr="001B4E27" w:rsidRDefault="004F5DBD" w:rsidP="00723135">
      <w:pPr>
        <w:ind w:right="-2"/>
        <w:jc w:val="both"/>
        <w:rPr>
          <w:lang w:val="en-US"/>
        </w:rPr>
      </w:pPr>
      <w:proofErr w:type="spellStart"/>
      <w:r w:rsidRPr="001B4E27">
        <w:rPr>
          <w:lang w:val="en-US"/>
        </w:rPr>
        <w:t>Gevaers</w:t>
      </w:r>
      <w:proofErr w:type="spellEnd"/>
      <w:r w:rsidRPr="001B4E27">
        <w:rPr>
          <w:lang w:val="en-US"/>
        </w:rPr>
        <w:t xml:space="preserve">, </w:t>
      </w:r>
      <w:r w:rsidR="00B60466" w:rsidRPr="001B4E27">
        <w:rPr>
          <w:lang w:val="en-US"/>
        </w:rPr>
        <w:t xml:space="preserve">R., </w:t>
      </w:r>
      <w:proofErr w:type="spellStart"/>
      <w:r w:rsidR="00B60466" w:rsidRPr="001B4E27">
        <w:rPr>
          <w:lang w:val="en-US"/>
        </w:rPr>
        <w:t>Maes</w:t>
      </w:r>
      <w:proofErr w:type="spellEnd"/>
      <w:r w:rsidR="00B60466" w:rsidRPr="001B4E27">
        <w:rPr>
          <w:lang w:val="en-US"/>
        </w:rPr>
        <w:t xml:space="preserve">, J. and Van de Voorde, E., </w:t>
      </w:r>
      <w:proofErr w:type="spellStart"/>
      <w:r w:rsidR="00B60466" w:rsidRPr="001B4E27">
        <w:rPr>
          <w:b/>
          <w:lang w:val="en-US"/>
        </w:rPr>
        <w:t>Vrachtvervoer</w:t>
      </w:r>
      <w:proofErr w:type="spellEnd"/>
      <w:r w:rsidRPr="001B4E27">
        <w:rPr>
          <w:b/>
          <w:lang w:val="en-US"/>
        </w:rPr>
        <w:t xml:space="preserve"> per</w:t>
      </w:r>
      <w:r w:rsidR="00B60466" w:rsidRPr="001B4E27">
        <w:rPr>
          <w:b/>
          <w:lang w:val="en-US"/>
        </w:rPr>
        <w:t xml:space="preserve"> spoor:  </w:t>
      </w:r>
      <w:proofErr w:type="spellStart"/>
      <w:r w:rsidR="00B60466" w:rsidRPr="001B4E27">
        <w:rPr>
          <w:b/>
          <w:lang w:val="en-US"/>
        </w:rPr>
        <w:t>ma</w:t>
      </w:r>
      <w:r w:rsidRPr="001B4E27">
        <w:rPr>
          <w:b/>
          <w:lang w:val="en-US"/>
        </w:rPr>
        <w:t>rktstructuur</w:t>
      </w:r>
      <w:proofErr w:type="spellEnd"/>
      <w:r w:rsidRPr="001B4E27">
        <w:rPr>
          <w:b/>
          <w:lang w:val="en-US"/>
        </w:rPr>
        <w:t xml:space="preserve">, </w:t>
      </w:r>
      <w:proofErr w:type="spellStart"/>
      <w:r w:rsidRPr="001B4E27">
        <w:rPr>
          <w:b/>
          <w:lang w:val="en-US"/>
        </w:rPr>
        <w:t>vervoerbeleid</w:t>
      </w:r>
      <w:proofErr w:type="spellEnd"/>
      <w:r w:rsidRPr="001B4E27">
        <w:rPr>
          <w:b/>
          <w:lang w:val="en-US"/>
        </w:rPr>
        <w:t xml:space="preserve"> en </w:t>
      </w:r>
      <w:r w:rsidR="00B60466" w:rsidRPr="001B4E27">
        <w:rPr>
          <w:b/>
          <w:lang w:val="en-US"/>
        </w:rPr>
        <w:t>havens</w:t>
      </w:r>
      <w:r w:rsidR="00B60466" w:rsidRPr="001B4E27">
        <w:rPr>
          <w:lang w:val="en-US"/>
        </w:rPr>
        <w:t>, University of Antwerp, Working Paper, 2012</w:t>
      </w:r>
    </w:p>
    <w:p w:rsidR="00C7078D" w:rsidRPr="001B4E27" w:rsidRDefault="00C7078D" w:rsidP="00723135">
      <w:pPr>
        <w:ind w:right="-2"/>
        <w:jc w:val="both"/>
        <w:rPr>
          <w:lang w:val="en-US"/>
        </w:rPr>
      </w:pPr>
      <w:r w:rsidRPr="001B4E27">
        <w:rPr>
          <w:lang w:val="en-US"/>
        </w:rPr>
        <w:t xml:space="preserve">Grosso, M., </w:t>
      </w:r>
      <w:r w:rsidR="004F5DBD" w:rsidRPr="001B4E27">
        <w:rPr>
          <w:b/>
          <w:lang w:val="en-US"/>
        </w:rPr>
        <w:t>Improving the competitiveness of intermodal transport: applications on European</w:t>
      </w:r>
      <w:r w:rsidRPr="001B4E27">
        <w:rPr>
          <w:b/>
          <w:lang w:val="en-US"/>
        </w:rPr>
        <w:t xml:space="preserve"> corridors</w:t>
      </w:r>
      <w:r w:rsidRPr="001B4E27">
        <w:rPr>
          <w:lang w:val="en-US"/>
        </w:rPr>
        <w:t>, PhD thesis, University of Antwerp, 2011</w:t>
      </w:r>
    </w:p>
    <w:p w:rsidR="00B60466" w:rsidRPr="001B4E27" w:rsidRDefault="00B60466" w:rsidP="00723135">
      <w:pPr>
        <w:ind w:right="-2"/>
        <w:jc w:val="both"/>
        <w:rPr>
          <w:lang w:val="en-US"/>
        </w:rPr>
      </w:pPr>
      <w:r w:rsidRPr="001B4E27">
        <w:rPr>
          <w:lang w:val="en-US"/>
        </w:rPr>
        <w:t xml:space="preserve">Hasson, F., Keeney, S. and McKenna, H., </w:t>
      </w:r>
      <w:r w:rsidR="004F5DBD" w:rsidRPr="001B4E27">
        <w:rPr>
          <w:i/>
          <w:lang w:val="en-US"/>
        </w:rPr>
        <w:t>Research</w:t>
      </w:r>
      <w:r w:rsidRPr="001B4E27">
        <w:rPr>
          <w:i/>
          <w:lang w:val="en-US"/>
        </w:rPr>
        <w:t xml:space="preserve"> guidelines for the Delphi survey technique</w:t>
      </w:r>
      <w:r w:rsidR="004F5DBD" w:rsidRPr="001B4E27">
        <w:rPr>
          <w:lang w:val="en-US"/>
        </w:rPr>
        <w:t xml:space="preserve">, </w:t>
      </w:r>
      <w:r w:rsidR="004F5DBD" w:rsidRPr="001B4E27">
        <w:rPr>
          <w:b/>
          <w:lang w:val="en-US"/>
        </w:rPr>
        <w:t>Journal</w:t>
      </w:r>
      <w:r w:rsidRPr="001B4E27">
        <w:rPr>
          <w:b/>
          <w:lang w:val="en-US"/>
        </w:rPr>
        <w:t xml:space="preserve"> of Advanced Nursing</w:t>
      </w:r>
      <w:r w:rsidRPr="001B4E27">
        <w:rPr>
          <w:lang w:val="en-US"/>
        </w:rPr>
        <w:t>, 32 (4), pp. 1008–1015, 2000</w:t>
      </w:r>
    </w:p>
    <w:p w:rsidR="00723135" w:rsidRPr="001B4E27" w:rsidRDefault="00723135" w:rsidP="00723135">
      <w:pPr>
        <w:ind w:right="-2"/>
        <w:jc w:val="both"/>
        <w:rPr>
          <w:lang w:val="en-US"/>
        </w:rPr>
      </w:pPr>
      <w:r w:rsidRPr="001B4E27">
        <w:rPr>
          <w:lang w:val="en-US"/>
        </w:rPr>
        <w:t xml:space="preserve">Houtman, E., Personal interview, </w:t>
      </w:r>
      <w:r w:rsidR="0043331A" w:rsidRPr="001B4E27">
        <w:rPr>
          <w:lang w:val="en-US"/>
        </w:rPr>
        <w:t>20 November</w:t>
      </w:r>
      <w:r w:rsidRPr="001B4E27">
        <w:rPr>
          <w:lang w:val="en-US"/>
        </w:rPr>
        <w:t xml:space="preserve"> 2014</w:t>
      </w:r>
    </w:p>
    <w:p w:rsidR="00B60466" w:rsidRPr="001B4E27" w:rsidRDefault="004F5DBD" w:rsidP="00723135">
      <w:pPr>
        <w:ind w:right="-2"/>
        <w:jc w:val="both"/>
        <w:rPr>
          <w:lang w:val="en-US"/>
        </w:rPr>
      </w:pPr>
      <w:r w:rsidRPr="001B4E27">
        <w:rPr>
          <w:lang w:val="en-US"/>
        </w:rPr>
        <w:t xml:space="preserve">Hsu, C. C. and </w:t>
      </w:r>
      <w:proofErr w:type="spellStart"/>
      <w:r w:rsidRPr="001B4E27">
        <w:rPr>
          <w:lang w:val="en-US"/>
        </w:rPr>
        <w:t>Sandford</w:t>
      </w:r>
      <w:proofErr w:type="spellEnd"/>
      <w:r w:rsidRPr="001B4E27">
        <w:rPr>
          <w:lang w:val="en-US"/>
        </w:rPr>
        <w:t xml:space="preserve">, </w:t>
      </w:r>
      <w:r w:rsidR="00B60466" w:rsidRPr="001B4E27">
        <w:rPr>
          <w:lang w:val="en-US"/>
        </w:rPr>
        <w:t xml:space="preserve">B. A., </w:t>
      </w:r>
      <w:r w:rsidRPr="001B4E27">
        <w:rPr>
          <w:i/>
          <w:lang w:val="en-US"/>
        </w:rPr>
        <w:t>The</w:t>
      </w:r>
      <w:r w:rsidR="00B60466" w:rsidRPr="001B4E27">
        <w:rPr>
          <w:i/>
          <w:lang w:val="en-US"/>
        </w:rPr>
        <w:t xml:space="preserve"> Delphi technique:  making sense of consensus</w:t>
      </w:r>
      <w:r w:rsidR="00B60466" w:rsidRPr="001B4E27">
        <w:rPr>
          <w:lang w:val="en-US"/>
        </w:rPr>
        <w:t xml:space="preserve">, </w:t>
      </w:r>
      <w:r w:rsidRPr="001B4E27">
        <w:rPr>
          <w:b/>
          <w:lang w:val="en-US"/>
        </w:rPr>
        <w:t>Practical assessment, research</w:t>
      </w:r>
      <w:r w:rsidR="00B60466" w:rsidRPr="001B4E27">
        <w:rPr>
          <w:b/>
          <w:lang w:val="en-US"/>
        </w:rPr>
        <w:t xml:space="preserve"> &amp; evaluation</w:t>
      </w:r>
      <w:r w:rsidRPr="001B4E27">
        <w:rPr>
          <w:lang w:val="en-US"/>
        </w:rPr>
        <w:t xml:space="preserve">, </w:t>
      </w:r>
      <w:r w:rsidR="00B60466" w:rsidRPr="001B4E27">
        <w:rPr>
          <w:lang w:val="en-US"/>
        </w:rPr>
        <w:t>12 (10), pp. 1–8, 2007</w:t>
      </w:r>
    </w:p>
    <w:p w:rsidR="00646A3E" w:rsidRPr="001B4E27" w:rsidRDefault="00646A3E" w:rsidP="00723135">
      <w:pPr>
        <w:ind w:right="-2"/>
        <w:jc w:val="both"/>
        <w:rPr>
          <w:lang w:val="en-US"/>
        </w:rPr>
      </w:pPr>
      <w:r w:rsidRPr="001B4E27">
        <w:rPr>
          <w:lang w:val="en-US"/>
        </w:rPr>
        <w:t xml:space="preserve">INFRABEL, </w:t>
      </w:r>
      <w:r w:rsidRPr="001B4E27">
        <w:rPr>
          <w:b/>
          <w:lang w:val="en-US"/>
        </w:rPr>
        <w:t xml:space="preserve">INFRABEL in het hart van de Europe </w:t>
      </w:r>
      <w:proofErr w:type="spellStart"/>
      <w:r w:rsidRPr="001B4E27">
        <w:rPr>
          <w:b/>
          <w:lang w:val="en-US"/>
        </w:rPr>
        <w:t>goederencorridors</w:t>
      </w:r>
      <w:proofErr w:type="spellEnd"/>
      <w:r w:rsidRPr="001B4E27">
        <w:rPr>
          <w:lang w:val="en-US"/>
        </w:rPr>
        <w:t xml:space="preserve">, </w:t>
      </w:r>
      <w:r w:rsidR="004F5DBD" w:rsidRPr="001B4E27">
        <w:rPr>
          <w:lang w:val="en-US"/>
        </w:rPr>
        <w:t>http://www.infrabel.be/sites/default/files/documents/</w:t>
      </w:r>
      <w:hyperlink r:id="rId14">
        <w:r w:rsidRPr="001B4E27">
          <w:rPr>
            <w:lang w:val="en-US"/>
          </w:rPr>
          <w:t>brochure_corridors_nl.pdf</w:t>
        </w:r>
      </w:hyperlink>
      <w:r w:rsidRPr="001B4E27">
        <w:rPr>
          <w:lang w:val="en-US"/>
        </w:rPr>
        <w:t>, 2014</w:t>
      </w:r>
    </w:p>
    <w:p w:rsidR="00C7078D" w:rsidRPr="001B4E27" w:rsidRDefault="00C7078D" w:rsidP="00723135">
      <w:pPr>
        <w:ind w:right="-2"/>
        <w:jc w:val="both"/>
        <w:rPr>
          <w:lang w:val="en-US"/>
        </w:rPr>
      </w:pPr>
      <w:proofErr w:type="spellStart"/>
      <w:r w:rsidRPr="001B4E27">
        <w:rPr>
          <w:lang w:val="en-US"/>
        </w:rPr>
        <w:t>Janic</w:t>
      </w:r>
      <w:proofErr w:type="spellEnd"/>
      <w:r w:rsidRPr="001B4E27">
        <w:rPr>
          <w:lang w:val="en-US"/>
        </w:rPr>
        <w:t xml:space="preserve">, M., </w:t>
      </w:r>
      <w:r w:rsidRPr="001B4E27">
        <w:rPr>
          <w:i/>
          <w:lang w:val="en-US"/>
        </w:rPr>
        <w:t>Modelling the full costs of an intermodal and road freight transport network</w:t>
      </w:r>
      <w:r w:rsidRPr="001B4E27">
        <w:rPr>
          <w:lang w:val="en-US"/>
        </w:rPr>
        <w:t xml:space="preserve">, </w:t>
      </w:r>
      <w:r w:rsidRPr="001B4E27">
        <w:rPr>
          <w:b/>
          <w:lang w:val="en-US"/>
        </w:rPr>
        <w:t>Transportation Research Part  D</w:t>
      </w:r>
      <w:r w:rsidRPr="001B4E27">
        <w:rPr>
          <w:lang w:val="en-US"/>
        </w:rPr>
        <w:t>, 12, pp. 33–44, 2007</w:t>
      </w:r>
    </w:p>
    <w:p w:rsidR="00B60466" w:rsidRPr="001B4E27" w:rsidRDefault="00B60466" w:rsidP="00723135">
      <w:pPr>
        <w:ind w:right="-2"/>
        <w:jc w:val="both"/>
        <w:rPr>
          <w:lang w:val="en-US"/>
        </w:rPr>
      </w:pPr>
      <w:proofErr w:type="spellStart"/>
      <w:r w:rsidRPr="001B4E27">
        <w:rPr>
          <w:lang w:val="en-US"/>
        </w:rPr>
        <w:t>Kerlinger</w:t>
      </w:r>
      <w:proofErr w:type="spellEnd"/>
      <w:r w:rsidRPr="001B4E27">
        <w:rPr>
          <w:lang w:val="en-US"/>
        </w:rPr>
        <w:t xml:space="preserve">, F. N., </w:t>
      </w:r>
      <w:r w:rsidR="004F5DBD" w:rsidRPr="001B4E27">
        <w:rPr>
          <w:b/>
          <w:lang w:val="en-US"/>
        </w:rPr>
        <w:t>Foundations</w:t>
      </w:r>
      <w:r w:rsidRPr="001B4E27">
        <w:rPr>
          <w:b/>
          <w:lang w:val="en-US"/>
        </w:rPr>
        <w:t xml:space="preserve"> of behavioral research:  4th edition</w:t>
      </w:r>
      <w:r w:rsidR="004F5DBD" w:rsidRPr="001B4E27">
        <w:rPr>
          <w:lang w:val="en-US"/>
        </w:rPr>
        <w:t xml:space="preserve">, New York: Holt, </w:t>
      </w:r>
      <w:proofErr w:type="spellStart"/>
      <w:r w:rsidR="004F5DBD" w:rsidRPr="001B4E27">
        <w:rPr>
          <w:lang w:val="en-US"/>
        </w:rPr>
        <w:t>Rine</w:t>
      </w:r>
      <w:proofErr w:type="spellEnd"/>
      <w:r w:rsidR="004F5DBD" w:rsidRPr="001B4E27">
        <w:rPr>
          <w:lang w:val="en-US"/>
        </w:rPr>
        <w:t xml:space="preserve">- hart, and Winston, </w:t>
      </w:r>
      <w:r w:rsidRPr="001B4E27">
        <w:rPr>
          <w:lang w:val="en-US"/>
        </w:rPr>
        <w:t xml:space="preserve">Inc., 1973 </w:t>
      </w:r>
    </w:p>
    <w:p w:rsidR="00C7078D" w:rsidRPr="001B4E27" w:rsidRDefault="00C7078D" w:rsidP="00723135">
      <w:pPr>
        <w:ind w:right="-2"/>
        <w:jc w:val="both"/>
        <w:rPr>
          <w:lang w:val="en-US"/>
        </w:rPr>
      </w:pPr>
      <w:proofErr w:type="spellStart"/>
      <w:r w:rsidRPr="001B4E27">
        <w:rPr>
          <w:lang w:val="en-US"/>
        </w:rPr>
        <w:t>Kreutzb</w:t>
      </w:r>
      <w:r w:rsidR="004F5DBD" w:rsidRPr="001B4E27">
        <w:rPr>
          <w:lang w:val="en-US"/>
        </w:rPr>
        <w:t>erger</w:t>
      </w:r>
      <w:proofErr w:type="spellEnd"/>
      <w:r w:rsidR="004F5DBD" w:rsidRPr="001B4E27">
        <w:rPr>
          <w:lang w:val="en-US"/>
        </w:rPr>
        <w:t xml:space="preserve">, </w:t>
      </w:r>
      <w:r w:rsidRPr="001B4E27">
        <w:rPr>
          <w:lang w:val="en-US"/>
        </w:rPr>
        <w:t xml:space="preserve">E., </w:t>
      </w:r>
      <w:proofErr w:type="spellStart"/>
      <w:r w:rsidRPr="001B4E27">
        <w:rPr>
          <w:lang w:val="en-US"/>
        </w:rPr>
        <w:t>Macharis</w:t>
      </w:r>
      <w:proofErr w:type="spellEnd"/>
      <w:r w:rsidRPr="001B4E27">
        <w:rPr>
          <w:lang w:val="en-US"/>
        </w:rPr>
        <w:t xml:space="preserve">, C., </w:t>
      </w:r>
      <w:proofErr w:type="spellStart"/>
      <w:r w:rsidRPr="001B4E27">
        <w:rPr>
          <w:lang w:val="en-US"/>
        </w:rPr>
        <w:t>Vereecken</w:t>
      </w:r>
      <w:proofErr w:type="spellEnd"/>
      <w:r w:rsidRPr="001B4E27">
        <w:rPr>
          <w:lang w:val="en-US"/>
        </w:rPr>
        <w:t xml:space="preserve">, L. and </w:t>
      </w:r>
      <w:proofErr w:type="spellStart"/>
      <w:r w:rsidRPr="001B4E27">
        <w:rPr>
          <w:lang w:val="en-US"/>
        </w:rPr>
        <w:t>Woxenius</w:t>
      </w:r>
      <w:proofErr w:type="spellEnd"/>
      <w:r w:rsidRPr="001B4E27">
        <w:rPr>
          <w:lang w:val="en-US"/>
        </w:rPr>
        <w:t xml:space="preserve">, J., </w:t>
      </w:r>
      <w:r w:rsidR="004F5DBD" w:rsidRPr="001B4E27">
        <w:rPr>
          <w:b/>
          <w:lang w:val="en-US"/>
        </w:rPr>
        <w:t xml:space="preserve">Is intermodal freight transport more environmentally friendly </w:t>
      </w:r>
      <w:r w:rsidRPr="001B4E27">
        <w:rPr>
          <w:b/>
          <w:lang w:val="en-US"/>
        </w:rPr>
        <w:t>than all-road freight transport? A review</w:t>
      </w:r>
      <w:r w:rsidR="004F5DBD" w:rsidRPr="001B4E27">
        <w:rPr>
          <w:lang w:val="en-US"/>
        </w:rPr>
        <w:t xml:space="preserve">, NECTAR </w:t>
      </w:r>
      <w:r w:rsidRPr="001B4E27">
        <w:rPr>
          <w:lang w:val="en-US"/>
        </w:rPr>
        <w:t xml:space="preserve">Conference </w:t>
      </w:r>
      <w:proofErr w:type="spellStart"/>
      <w:r w:rsidRPr="001B4E27">
        <w:rPr>
          <w:lang w:val="en-US"/>
        </w:rPr>
        <w:t>N7</w:t>
      </w:r>
      <w:proofErr w:type="spellEnd"/>
      <w:r w:rsidRPr="001B4E27">
        <w:rPr>
          <w:lang w:val="en-US"/>
        </w:rPr>
        <w:t>, Sweden, 2003</w:t>
      </w:r>
    </w:p>
    <w:p w:rsidR="00C7078D" w:rsidRPr="001B4E27" w:rsidRDefault="00C7078D" w:rsidP="00723135">
      <w:pPr>
        <w:spacing w:before="6" w:line="280" w:lineRule="exact"/>
        <w:ind w:right="-2"/>
        <w:jc w:val="both"/>
        <w:rPr>
          <w:lang w:val="en-US"/>
        </w:rPr>
      </w:pPr>
      <w:proofErr w:type="spellStart"/>
      <w:r w:rsidRPr="001B4E27">
        <w:rPr>
          <w:lang w:val="en-US"/>
        </w:rPr>
        <w:t>Ma</w:t>
      </w:r>
      <w:r w:rsidRPr="001B4E27">
        <w:rPr>
          <w:spacing w:val="-6"/>
          <w:lang w:val="en-US"/>
        </w:rPr>
        <w:t>c</w:t>
      </w:r>
      <w:r w:rsidRPr="001B4E27">
        <w:rPr>
          <w:lang w:val="en-US"/>
        </w:rPr>
        <w:t>haris</w:t>
      </w:r>
      <w:proofErr w:type="spellEnd"/>
      <w:r w:rsidRPr="001B4E27">
        <w:rPr>
          <w:lang w:val="en-US"/>
        </w:rPr>
        <w:t>,</w:t>
      </w:r>
      <w:r w:rsidRPr="001B4E27">
        <w:rPr>
          <w:spacing w:val="41"/>
          <w:lang w:val="en-US"/>
        </w:rPr>
        <w:t xml:space="preserve"> </w:t>
      </w:r>
      <w:r w:rsidRPr="001B4E27">
        <w:rPr>
          <w:lang w:val="en-US"/>
        </w:rPr>
        <w:t>C.</w:t>
      </w:r>
      <w:r w:rsidRPr="001B4E27">
        <w:rPr>
          <w:spacing w:val="13"/>
          <w:lang w:val="en-US"/>
        </w:rPr>
        <w:t xml:space="preserve"> </w:t>
      </w:r>
      <w:r w:rsidRPr="001B4E27">
        <w:rPr>
          <w:lang w:val="en-US"/>
        </w:rPr>
        <w:t>and</w:t>
      </w:r>
      <w:r w:rsidRPr="001B4E27">
        <w:rPr>
          <w:spacing w:val="29"/>
          <w:lang w:val="en-US"/>
        </w:rPr>
        <w:t xml:space="preserve"> </w:t>
      </w:r>
      <w:proofErr w:type="spellStart"/>
      <w:r w:rsidRPr="001B4E27">
        <w:rPr>
          <w:lang w:val="en-US"/>
        </w:rPr>
        <w:t>Bo</w:t>
      </w:r>
      <w:r w:rsidRPr="001B4E27">
        <w:rPr>
          <w:spacing w:val="-6"/>
          <w:lang w:val="en-US"/>
        </w:rPr>
        <w:t>n</w:t>
      </w:r>
      <w:r w:rsidRPr="001B4E27">
        <w:rPr>
          <w:lang w:val="en-US"/>
        </w:rPr>
        <w:t>te</w:t>
      </w:r>
      <w:r w:rsidRPr="001B4E27">
        <w:rPr>
          <w:spacing w:val="-6"/>
          <w:lang w:val="en-US"/>
        </w:rPr>
        <w:t>k</w:t>
      </w:r>
      <w:r w:rsidRPr="001B4E27">
        <w:rPr>
          <w:lang w:val="en-US"/>
        </w:rPr>
        <w:t>oning</w:t>
      </w:r>
      <w:proofErr w:type="spellEnd"/>
      <w:r w:rsidRPr="001B4E27">
        <w:rPr>
          <w:lang w:val="en-US"/>
        </w:rPr>
        <w:t>,</w:t>
      </w:r>
      <w:r w:rsidRPr="001B4E27">
        <w:rPr>
          <w:spacing w:val="49"/>
          <w:lang w:val="en-US"/>
        </w:rPr>
        <w:t xml:space="preserve"> </w:t>
      </w:r>
      <w:proofErr w:type="spellStart"/>
      <w:r w:rsidRPr="001B4E27">
        <w:rPr>
          <w:lang w:val="en-US"/>
        </w:rPr>
        <w:t>Y.M</w:t>
      </w:r>
      <w:proofErr w:type="spellEnd"/>
      <w:r w:rsidRPr="001B4E27">
        <w:rPr>
          <w:lang w:val="en-US"/>
        </w:rPr>
        <w:t>.</w:t>
      </w:r>
      <w:r w:rsidRPr="001B4E27">
        <w:rPr>
          <w:spacing w:val="10"/>
          <w:lang w:val="en-US"/>
        </w:rPr>
        <w:t xml:space="preserve">, </w:t>
      </w:r>
      <w:r w:rsidRPr="001B4E27">
        <w:rPr>
          <w:i/>
          <w:w w:val="106"/>
          <w:lang w:val="en-US"/>
        </w:rPr>
        <w:t>Op</w:t>
      </w:r>
      <w:r w:rsidRPr="001B4E27">
        <w:rPr>
          <w:i/>
          <w:spacing w:val="7"/>
          <w:w w:val="106"/>
          <w:lang w:val="en-US"/>
        </w:rPr>
        <w:t>p</w:t>
      </w:r>
      <w:r w:rsidRPr="001B4E27">
        <w:rPr>
          <w:i/>
          <w:w w:val="106"/>
          <w:lang w:val="en-US"/>
        </w:rPr>
        <w:t>ortunities</w:t>
      </w:r>
      <w:r w:rsidRPr="001B4E27">
        <w:rPr>
          <w:i/>
          <w:spacing w:val="12"/>
          <w:w w:val="106"/>
          <w:lang w:val="en-US"/>
        </w:rPr>
        <w:t xml:space="preserve"> </w:t>
      </w:r>
      <w:r w:rsidRPr="001B4E27">
        <w:rPr>
          <w:i/>
          <w:lang w:val="en-US"/>
        </w:rPr>
        <w:t>for</w:t>
      </w:r>
      <w:r w:rsidRPr="001B4E27">
        <w:rPr>
          <w:i/>
          <w:spacing w:val="-3"/>
          <w:lang w:val="en-US"/>
        </w:rPr>
        <w:t xml:space="preserve"> </w:t>
      </w:r>
      <w:r w:rsidRPr="001B4E27">
        <w:rPr>
          <w:i/>
          <w:lang w:val="en-US"/>
        </w:rPr>
        <w:t>OR</w:t>
      </w:r>
      <w:r w:rsidRPr="001B4E27">
        <w:rPr>
          <w:i/>
          <w:spacing w:val="20"/>
          <w:lang w:val="en-US"/>
        </w:rPr>
        <w:t xml:space="preserve"> </w:t>
      </w:r>
      <w:r w:rsidRPr="001B4E27">
        <w:rPr>
          <w:i/>
          <w:lang w:val="en-US"/>
        </w:rPr>
        <w:t>in</w:t>
      </w:r>
      <w:r w:rsidRPr="001B4E27">
        <w:rPr>
          <w:i/>
          <w:spacing w:val="7"/>
          <w:lang w:val="en-US"/>
        </w:rPr>
        <w:t xml:space="preserve"> </w:t>
      </w:r>
      <w:r w:rsidRPr="001B4E27">
        <w:rPr>
          <w:i/>
          <w:lang w:val="en-US"/>
        </w:rPr>
        <w:t>i</w:t>
      </w:r>
      <w:r w:rsidRPr="001B4E27">
        <w:rPr>
          <w:i/>
          <w:spacing w:val="-6"/>
          <w:lang w:val="en-US"/>
        </w:rPr>
        <w:t>n</w:t>
      </w:r>
      <w:r w:rsidRPr="001B4E27">
        <w:rPr>
          <w:i/>
          <w:lang w:val="en-US"/>
        </w:rPr>
        <w:t>term</w:t>
      </w:r>
      <w:r w:rsidRPr="001B4E27">
        <w:rPr>
          <w:i/>
          <w:spacing w:val="7"/>
          <w:lang w:val="en-US"/>
        </w:rPr>
        <w:t>o</w:t>
      </w:r>
      <w:r w:rsidRPr="001B4E27">
        <w:rPr>
          <w:i/>
          <w:lang w:val="en-US"/>
        </w:rPr>
        <w:t>dal</w:t>
      </w:r>
      <w:r w:rsidRPr="001B4E27">
        <w:rPr>
          <w:i/>
          <w:spacing w:val="1"/>
          <w:lang w:val="en-US"/>
        </w:rPr>
        <w:t xml:space="preserve"> </w:t>
      </w:r>
      <w:r w:rsidRPr="001B4E27">
        <w:rPr>
          <w:i/>
          <w:lang w:val="en-US"/>
        </w:rPr>
        <w:t>freig</w:t>
      </w:r>
      <w:r w:rsidRPr="001B4E27">
        <w:rPr>
          <w:i/>
          <w:spacing w:val="-6"/>
          <w:lang w:val="en-US"/>
        </w:rPr>
        <w:t>h</w:t>
      </w:r>
      <w:r w:rsidRPr="001B4E27">
        <w:rPr>
          <w:i/>
          <w:w w:val="136"/>
          <w:lang w:val="en-US"/>
        </w:rPr>
        <w:t>t</w:t>
      </w:r>
      <w:r w:rsidRPr="001B4E27">
        <w:rPr>
          <w:i/>
          <w:lang w:val="en-US"/>
        </w:rPr>
        <w:t xml:space="preserve"> </w:t>
      </w:r>
      <w:r w:rsidRPr="001B4E27">
        <w:rPr>
          <w:i/>
          <w:w w:val="109"/>
          <w:lang w:val="en-US"/>
        </w:rPr>
        <w:t xml:space="preserve">trans- </w:t>
      </w:r>
      <w:r w:rsidRPr="001B4E27">
        <w:rPr>
          <w:i/>
          <w:spacing w:val="7"/>
          <w:lang w:val="en-US"/>
        </w:rPr>
        <w:t>p</w:t>
      </w:r>
      <w:r w:rsidRPr="001B4E27">
        <w:rPr>
          <w:i/>
          <w:lang w:val="en-US"/>
        </w:rPr>
        <w:t>ort</w:t>
      </w:r>
      <w:r w:rsidRPr="001B4E27">
        <w:rPr>
          <w:i/>
          <w:spacing w:val="60"/>
          <w:lang w:val="en-US"/>
        </w:rPr>
        <w:t xml:space="preserve"> </w:t>
      </w:r>
      <w:r w:rsidRPr="001B4E27">
        <w:rPr>
          <w:i/>
          <w:lang w:val="en-US"/>
        </w:rPr>
        <w:t>resear</w:t>
      </w:r>
      <w:r w:rsidRPr="001B4E27">
        <w:rPr>
          <w:i/>
          <w:spacing w:val="-6"/>
          <w:lang w:val="en-US"/>
        </w:rPr>
        <w:t>c</w:t>
      </w:r>
      <w:r w:rsidRPr="001B4E27">
        <w:rPr>
          <w:i/>
          <w:lang w:val="en-US"/>
        </w:rPr>
        <w:t>h:</w:t>
      </w:r>
      <w:r w:rsidRPr="001B4E27">
        <w:rPr>
          <w:i/>
          <w:spacing w:val="47"/>
          <w:lang w:val="en-US"/>
        </w:rPr>
        <w:t xml:space="preserve"> </w:t>
      </w:r>
      <w:r w:rsidRPr="001B4E27">
        <w:rPr>
          <w:i/>
          <w:lang w:val="en-US"/>
        </w:rPr>
        <w:t>A</w:t>
      </w:r>
      <w:r w:rsidRPr="001B4E27">
        <w:rPr>
          <w:i/>
          <w:spacing w:val="20"/>
          <w:lang w:val="en-US"/>
        </w:rPr>
        <w:t xml:space="preserve"> </w:t>
      </w:r>
      <w:r w:rsidRPr="001B4E27">
        <w:rPr>
          <w:i/>
          <w:lang w:val="en-US"/>
        </w:rPr>
        <w:t>review</w:t>
      </w:r>
      <w:r w:rsidRPr="001B4E27">
        <w:rPr>
          <w:lang w:val="en-US"/>
        </w:rPr>
        <w:t>,</w:t>
      </w:r>
      <w:r w:rsidRPr="001B4E27">
        <w:rPr>
          <w:spacing w:val="35"/>
          <w:lang w:val="en-US"/>
        </w:rPr>
        <w:t xml:space="preserve"> </w:t>
      </w:r>
      <w:r w:rsidRPr="001B4E27">
        <w:rPr>
          <w:b/>
          <w:lang w:val="en-US"/>
        </w:rPr>
        <w:t>Eu</w:t>
      </w:r>
      <w:r w:rsidRPr="001B4E27">
        <w:rPr>
          <w:b/>
          <w:spacing w:val="-12"/>
          <w:lang w:val="en-US"/>
        </w:rPr>
        <w:t>r</w:t>
      </w:r>
      <w:r w:rsidRPr="001B4E27">
        <w:rPr>
          <w:b/>
          <w:lang w:val="en-US"/>
        </w:rPr>
        <w:t>o</w:t>
      </w:r>
      <w:r w:rsidRPr="001B4E27">
        <w:rPr>
          <w:b/>
          <w:spacing w:val="-12"/>
          <w:lang w:val="en-US"/>
        </w:rPr>
        <w:t>pe</w:t>
      </w:r>
      <w:r w:rsidRPr="001B4E27">
        <w:rPr>
          <w:b/>
          <w:lang w:val="en-US"/>
        </w:rPr>
        <w:t>an Journal of</w:t>
      </w:r>
      <w:r w:rsidRPr="001B4E27">
        <w:rPr>
          <w:b/>
          <w:spacing w:val="14"/>
          <w:lang w:val="en-US"/>
        </w:rPr>
        <w:t xml:space="preserve"> </w:t>
      </w:r>
      <w:r w:rsidRPr="001B4E27">
        <w:rPr>
          <w:b/>
          <w:lang w:val="en-US"/>
        </w:rPr>
        <w:t>O</w:t>
      </w:r>
      <w:r w:rsidRPr="001B4E27">
        <w:rPr>
          <w:b/>
          <w:spacing w:val="-12"/>
          <w:lang w:val="en-US"/>
        </w:rPr>
        <w:t>p</w:t>
      </w:r>
      <w:r w:rsidRPr="001B4E27">
        <w:rPr>
          <w:b/>
          <w:lang w:val="en-US"/>
        </w:rPr>
        <w:t>e</w:t>
      </w:r>
      <w:r w:rsidRPr="001B4E27">
        <w:rPr>
          <w:b/>
          <w:spacing w:val="-12"/>
          <w:lang w:val="en-US"/>
        </w:rPr>
        <w:t>r</w:t>
      </w:r>
      <w:r w:rsidRPr="001B4E27">
        <w:rPr>
          <w:b/>
          <w:lang w:val="en-US"/>
        </w:rPr>
        <w:t xml:space="preserve">ational </w:t>
      </w:r>
      <w:r w:rsidRPr="001B4E27">
        <w:rPr>
          <w:b/>
          <w:spacing w:val="-12"/>
          <w:lang w:val="en-US"/>
        </w:rPr>
        <w:t>R</w:t>
      </w:r>
      <w:r w:rsidRPr="001B4E27">
        <w:rPr>
          <w:b/>
          <w:lang w:val="en-US"/>
        </w:rPr>
        <w:t>es</w:t>
      </w:r>
      <w:r w:rsidRPr="001B4E27">
        <w:rPr>
          <w:b/>
          <w:spacing w:val="-12"/>
          <w:lang w:val="en-US"/>
        </w:rPr>
        <w:t>e</w:t>
      </w:r>
      <w:r w:rsidRPr="001B4E27">
        <w:rPr>
          <w:b/>
          <w:lang w:val="en-US"/>
        </w:rPr>
        <w:t>a</w:t>
      </w:r>
      <w:r w:rsidRPr="001B4E27">
        <w:rPr>
          <w:b/>
          <w:spacing w:val="-12"/>
          <w:lang w:val="en-US"/>
        </w:rPr>
        <w:t>r</w:t>
      </w:r>
      <w:r w:rsidRPr="001B4E27">
        <w:rPr>
          <w:b/>
          <w:lang w:val="en-US"/>
        </w:rPr>
        <w:t>ch</w:t>
      </w:r>
      <w:r w:rsidRPr="001B4E27">
        <w:rPr>
          <w:lang w:val="en-US"/>
        </w:rPr>
        <w:t>, 153,</w:t>
      </w:r>
      <w:r w:rsidRPr="001B4E27">
        <w:rPr>
          <w:spacing w:val="11"/>
          <w:lang w:val="en-US"/>
        </w:rPr>
        <w:t xml:space="preserve"> </w:t>
      </w:r>
      <w:r w:rsidRPr="001B4E27">
        <w:rPr>
          <w:lang w:val="en-US"/>
        </w:rPr>
        <w:t>pp.</w:t>
      </w:r>
      <w:r w:rsidRPr="001B4E27">
        <w:rPr>
          <w:spacing w:val="43"/>
          <w:lang w:val="en-US"/>
        </w:rPr>
        <w:t xml:space="preserve"> </w:t>
      </w:r>
      <w:r w:rsidRPr="001B4E27">
        <w:rPr>
          <w:w w:val="97"/>
          <w:lang w:val="en-US"/>
        </w:rPr>
        <w:t>400–4</w:t>
      </w:r>
      <w:r w:rsidRPr="001B4E27">
        <w:rPr>
          <w:spacing w:val="1"/>
          <w:w w:val="97"/>
          <w:lang w:val="en-US"/>
        </w:rPr>
        <w:t>1</w:t>
      </w:r>
      <w:r w:rsidRPr="001B4E27">
        <w:rPr>
          <w:lang w:val="en-US"/>
        </w:rPr>
        <w:t>6, 2004</w:t>
      </w:r>
    </w:p>
    <w:p w:rsidR="00646A3E" w:rsidRPr="001B4E27" w:rsidRDefault="00646A3E" w:rsidP="00723135">
      <w:pPr>
        <w:spacing w:before="6" w:line="280" w:lineRule="exact"/>
        <w:ind w:right="-2"/>
        <w:jc w:val="both"/>
        <w:rPr>
          <w:lang w:val="en-US"/>
        </w:rPr>
      </w:pPr>
      <w:proofErr w:type="spellStart"/>
      <w:r w:rsidRPr="001B4E27">
        <w:rPr>
          <w:lang w:val="en-US"/>
        </w:rPr>
        <w:t>Mitusch</w:t>
      </w:r>
      <w:proofErr w:type="spellEnd"/>
      <w:r w:rsidRPr="001B4E27">
        <w:rPr>
          <w:lang w:val="en-US"/>
        </w:rPr>
        <w:t xml:space="preserve">, K., </w:t>
      </w:r>
      <w:proofErr w:type="spellStart"/>
      <w:r w:rsidRPr="001B4E27">
        <w:rPr>
          <w:lang w:val="en-US"/>
        </w:rPr>
        <w:t>Liedtke</w:t>
      </w:r>
      <w:proofErr w:type="spellEnd"/>
      <w:r w:rsidRPr="001B4E27">
        <w:rPr>
          <w:lang w:val="en-US"/>
        </w:rPr>
        <w:t xml:space="preserve">, G., </w:t>
      </w:r>
      <w:proofErr w:type="spellStart"/>
      <w:r w:rsidRPr="001B4E27">
        <w:rPr>
          <w:lang w:val="en-US"/>
        </w:rPr>
        <w:t>Guihery</w:t>
      </w:r>
      <w:proofErr w:type="spellEnd"/>
      <w:r w:rsidRPr="001B4E27">
        <w:rPr>
          <w:lang w:val="en-US"/>
        </w:rPr>
        <w:t xml:space="preserve">, L. and </w:t>
      </w:r>
      <w:proofErr w:type="spellStart"/>
      <w:r w:rsidRPr="001B4E27">
        <w:rPr>
          <w:lang w:val="en-US"/>
        </w:rPr>
        <w:t>Balz</w:t>
      </w:r>
      <w:proofErr w:type="spellEnd"/>
      <w:r w:rsidRPr="001B4E27">
        <w:rPr>
          <w:lang w:val="en-US"/>
        </w:rPr>
        <w:t xml:space="preserve">, D., </w:t>
      </w:r>
      <w:r w:rsidRPr="001B4E27">
        <w:rPr>
          <w:i/>
          <w:lang w:val="en-US"/>
        </w:rPr>
        <w:t>The structure of freight flows in Europe and its implications  for EU railway freight policy</w:t>
      </w:r>
      <w:r w:rsidRPr="001B4E27">
        <w:rPr>
          <w:lang w:val="en-US"/>
        </w:rPr>
        <w:t xml:space="preserve">, </w:t>
      </w:r>
      <w:proofErr w:type="spellStart"/>
      <w:r w:rsidRPr="001B4E27">
        <w:rPr>
          <w:b/>
          <w:lang w:val="en-US"/>
        </w:rPr>
        <w:t>EconPapers</w:t>
      </w:r>
      <w:proofErr w:type="spellEnd"/>
      <w:r w:rsidRPr="001B4E27">
        <w:rPr>
          <w:lang w:val="en-US"/>
        </w:rPr>
        <w:t xml:space="preserve">, 61, Working Paper  Series in Economics, </w:t>
      </w:r>
      <w:proofErr w:type="spellStart"/>
      <w:r w:rsidRPr="001B4E27">
        <w:rPr>
          <w:lang w:val="en-US"/>
        </w:rPr>
        <w:t>Karlsruher</w:t>
      </w:r>
      <w:proofErr w:type="spellEnd"/>
      <w:r w:rsidRPr="001B4E27">
        <w:rPr>
          <w:lang w:val="en-US"/>
        </w:rPr>
        <w:t xml:space="preserve"> </w:t>
      </w:r>
      <w:proofErr w:type="spellStart"/>
      <w:r w:rsidRPr="001B4E27">
        <w:rPr>
          <w:lang w:val="en-US"/>
        </w:rPr>
        <w:t>Institut</w:t>
      </w:r>
      <w:proofErr w:type="spellEnd"/>
      <w:r w:rsidRPr="001B4E27">
        <w:rPr>
          <w:lang w:val="en-US"/>
        </w:rPr>
        <w:t xml:space="preserve"> </w:t>
      </w:r>
      <w:proofErr w:type="spellStart"/>
      <w:r w:rsidRPr="001B4E27">
        <w:rPr>
          <w:lang w:val="en-US"/>
        </w:rPr>
        <w:t>fr</w:t>
      </w:r>
      <w:proofErr w:type="spellEnd"/>
      <w:r w:rsidRPr="001B4E27">
        <w:rPr>
          <w:lang w:val="en-US"/>
        </w:rPr>
        <w:t xml:space="preserve"> </w:t>
      </w:r>
      <w:proofErr w:type="spellStart"/>
      <w:r w:rsidRPr="001B4E27">
        <w:rPr>
          <w:lang w:val="en-US"/>
        </w:rPr>
        <w:t>Technologie</w:t>
      </w:r>
      <w:proofErr w:type="spellEnd"/>
      <w:r w:rsidRPr="001B4E27">
        <w:rPr>
          <w:lang w:val="en-US"/>
        </w:rPr>
        <w:t xml:space="preserve"> (KIT), 2014</w:t>
      </w:r>
    </w:p>
    <w:p w:rsidR="00646A3E" w:rsidRPr="001B4E27" w:rsidRDefault="00646A3E" w:rsidP="00723135">
      <w:pPr>
        <w:spacing w:before="6" w:line="280" w:lineRule="exact"/>
        <w:ind w:right="-2"/>
        <w:jc w:val="both"/>
        <w:rPr>
          <w:lang w:val="en-US"/>
        </w:rPr>
      </w:pPr>
      <w:proofErr w:type="spellStart"/>
      <w:r w:rsidRPr="001B4E27">
        <w:rPr>
          <w:lang w:val="en-US"/>
        </w:rPr>
        <w:t>MORA</w:t>
      </w:r>
      <w:proofErr w:type="spellEnd"/>
      <w:r w:rsidRPr="001B4E27">
        <w:rPr>
          <w:lang w:val="en-US"/>
        </w:rPr>
        <w:t xml:space="preserve">, </w:t>
      </w:r>
      <w:proofErr w:type="spellStart"/>
      <w:r w:rsidRPr="001B4E27">
        <w:rPr>
          <w:b/>
          <w:lang w:val="en-US"/>
        </w:rPr>
        <w:t>Advies</w:t>
      </w:r>
      <w:proofErr w:type="spellEnd"/>
      <w:r w:rsidRPr="001B4E27">
        <w:rPr>
          <w:b/>
          <w:lang w:val="en-US"/>
        </w:rPr>
        <w:t xml:space="preserve"> met </w:t>
      </w:r>
      <w:proofErr w:type="spellStart"/>
      <w:r w:rsidRPr="001B4E27">
        <w:rPr>
          <w:b/>
          <w:lang w:val="en-US"/>
        </w:rPr>
        <w:t>betrekking</w:t>
      </w:r>
      <w:proofErr w:type="spellEnd"/>
      <w:r w:rsidRPr="001B4E27">
        <w:rPr>
          <w:b/>
          <w:lang w:val="en-US"/>
        </w:rPr>
        <w:t xml:space="preserve"> tot de </w:t>
      </w:r>
      <w:proofErr w:type="spellStart"/>
      <w:r w:rsidRPr="001B4E27">
        <w:rPr>
          <w:b/>
          <w:lang w:val="en-US"/>
        </w:rPr>
        <w:t>conceptnota</w:t>
      </w:r>
      <w:proofErr w:type="spellEnd"/>
      <w:r w:rsidRPr="001B4E27">
        <w:rPr>
          <w:b/>
          <w:lang w:val="en-US"/>
        </w:rPr>
        <w:t xml:space="preserve"> - </w:t>
      </w:r>
      <w:proofErr w:type="spellStart"/>
      <w:r w:rsidRPr="001B4E27">
        <w:rPr>
          <w:b/>
          <w:lang w:val="en-US"/>
        </w:rPr>
        <w:t>Vlaams</w:t>
      </w:r>
      <w:proofErr w:type="spellEnd"/>
      <w:r w:rsidRPr="001B4E27">
        <w:rPr>
          <w:b/>
          <w:lang w:val="en-US"/>
        </w:rPr>
        <w:t xml:space="preserve"> </w:t>
      </w:r>
      <w:proofErr w:type="spellStart"/>
      <w:r w:rsidRPr="001B4E27">
        <w:rPr>
          <w:b/>
          <w:lang w:val="en-US"/>
        </w:rPr>
        <w:t>strategisch</w:t>
      </w:r>
      <w:proofErr w:type="spellEnd"/>
      <w:r w:rsidRPr="001B4E27">
        <w:rPr>
          <w:b/>
          <w:lang w:val="en-US"/>
        </w:rPr>
        <w:t xml:space="preserve"> </w:t>
      </w:r>
      <w:proofErr w:type="spellStart"/>
      <w:r w:rsidRPr="001B4E27">
        <w:rPr>
          <w:b/>
          <w:lang w:val="en-US"/>
        </w:rPr>
        <w:t>spoorbeleid</w:t>
      </w:r>
      <w:proofErr w:type="spellEnd"/>
      <w:r w:rsidRPr="001B4E27">
        <w:rPr>
          <w:lang w:val="en-US"/>
        </w:rPr>
        <w:t xml:space="preserve">, </w:t>
      </w:r>
      <w:proofErr w:type="spellStart"/>
      <w:proofErr w:type="gramStart"/>
      <w:r w:rsidRPr="001B4E27">
        <w:rPr>
          <w:lang w:val="en-US"/>
        </w:rPr>
        <w:t>url</w:t>
      </w:r>
      <w:proofErr w:type="spellEnd"/>
      <w:proofErr w:type="gramEnd"/>
      <w:r w:rsidR="00723135" w:rsidRPr="001B4E27">
        <w:rPr>
          <w:lang w:val="en-US"/>
        </w:rPr>
        <w:t xml:space="preserve">: </w:t>
      </w:r>
      <w:hyperlink r:id="rId15">
        <w:r w:rsidRPr="001B4E27">
          <w:rPr>
            <w:lang w:val="en-US"/>
          </w:rPr>
          <w:t>http://www.vlaanderen.be/nl/publicaties/detail/advies-</w:t>
        </w:r>
      </w:hyperlink>
      <w:hyperlink r:id="rId16">
        <w:r w:rsidRPr="001B4E27">
          <w:rPr>
            <w:lang w:val="en-US"/>
          </w:rPr>
          <w:t>met-betrekking-tot-de-conceptnota-vlaams-strategisch-spoorbeleid</w:t>
        </w:r>
      </w:hyperlink>
      <w:r w:rsidR="00723135" w:rsidRPr="001B4E27">
        <w:rPr>
          <w:lang w:val="en-US"/>
        </w:rPr>
        <w:t>, 2012</w:t>
      </w:r>
    </w:p>
    <w:p w:rsidR="008D56B9" w:rsidRPr="001B4E27" w:rsidRDefault="008D56B9" w:rsidP="00723135">
      <w:pPr>
        <w:spacing w:before="13"/>
        <w:ind w:right="-2"/>
        <w:jc w:val="both"/>
        <w:rPr>
          <w:color w:val="000000"/>
          <w:spacing w:val="-6"/>
          <w:w w:val="106"/>
          <w:lang w:val="en-US"/>
        </w:rPr>
      </w:pPr>
      <w:r w:rsidRPr="001B4E27">
        <w:rPr>
          <w:color w:val="000000"/>
          <w:spacing w:val="-6"/>
          <w:w w:val="106"/>
          <w:lang w:val="en-US"/>
        </w:rPr>
        <w:t xml:space="preserve">OECD, Strategic </w:t>
      </w:r>
      <w:r w:rsidRPr="001B4E27">
        <w:rPr>
          <w:b/>
          <w:color w:val="000000"/>
          <w:spacing w:val="-6"/>
          <w:w w:val="106"/>
          <w:lang w:val="en-US"/>
        </w:rPr>
        <w:t>Transport Infrastructure Needs to 2030: Main findings</w:t>
      </w:r>
      <w:r w:rsidR="004F5DBD" w:rsidRPr="001B4E27">
        <w:rPr>
          <w:color w:val="000000"/>
          <w:spacing w:val="-6"/>
          <w:w w:val="106"/>
          <w:lang w:val="en-US"/>
        </w:rPr>
        <w:t xml:space="preserve">, </w:t>
      </w:r>
      <w:proofErr w:type="spellStart"/>
      <w:proofErr w:type="gramStart"/>
      <w:r w:rsidRPr="001B4E27">
        <w:rPr>
          <w:color w:val="000000"/>
          <w:spacing w:val="-6"/>
          <w:w w:val="106"/>
          <w:lang w:val="en-US"/>
        </w:rPr>
        <w:t>url</w:t>
      </w:r>
      <w:proofErr w:type="spellEnd"/>
      <w:proofErr w:type="gramEnd"/>
      <w:r w:rsidRPr="001B4E27">
        <w:rPr>
          <w:color w:val="000000"/>
          <w:spacing w:val="-6"/>
          <w:w w:val="106"/>
          <w:lang w:val="en-US"/>
        </w:rPr>
        <w:t xml:space="preserve">: </w:t>
      </w:r>
      <w:hyperlink r:id="rId17">
        <w:r w:rsidRPr="001B4E27">
          <w:rPr>
            <w:color w:val="000000"/>
            <w:spacing w:val="-6"/>
            <w:w w:val="106"/>
            <w:lang w:val="en-US"/>
          </w:rPr>
          <w:t>http://</w:t>
        </w:r>
        <w:proofErr w:type="spellStart"/>
        <w:r w:rsidRPr="001B4E27">
          <w:rPr>
            <w:color w:val="000000"/>
            <w:spacing w:val="-6"/>
            <w:w w:val="106"/>
            <w:lang w:val="en-US"/>
          </w:rPr>
          <w:t>www.oecd.org</w:t>
        </w:r>
        <w:proofErr w:type="spellEnd"/>
        <w:r w:rsidRPr="001B4E27">
          <w:rPr>
            <w:color w:val="000000"/>
            <w:spacing w:val="-6"/>
            <w:w w:val="106"/>
            <w:lang w:val="en-US"/>
          </w:rPr>
          <w:t>/futures/</w:t>
        </w:r>
        <w:proofErr w:type="spellStart"/>
        <w:r w:rsidRPr="001B4E27">
          <w:rPr>
            <w:color w:val="000000"/>
            <w:spacing w:val="-6"/>
            <w:w w:val="106"/>
            <w:lang w:val="en-US"/>
          </w:rPr>
          <w:t>infrastructureto2030</w:t>
        </w:r>
        <w:proofErr w:type="spellEnd"/>
        <w:r w:rsidRPr="001B4E27">
          <w:rPr>
            <w:color w:val="000000"/>
            <w:spacing w:val="-6"/>
            <w:w w:val="106"/>
            <w:lang w:val="en-US"/>
          </w:rPr>
          <w:t>/</w:t>
        </w:r>
        <w:proofErr w:type="spellStart"/>
        <w:r w:rsidRPr="001B4E27">
          <w:rPr>
            <w:color w:val="000000"/>
            <w:spacing w:val="-6"/>
            <w:w w:val="106"/>
            <w:lang w:val="en-US"/>
          </w:rPr>
          <w:t>49094448.pdf</w:t>
        </w:r>
        <w:proofErr w:type="spellEnd"/>
      </w:hyperlink>
      <w:r w:rsidRPr="001B4E27">
        <w:rPr>
          <w:color w:val="000000"/>
          <w:spacing w:val="-6"/>
          <w:w w:val="106"/>
          <w:lang w:val="en-US"/>
        </w:rPr>
        <w:t>, 2012</w:t>
      </w:r>
    </w:p>
    <w:p w:rsidR="00C7078D" w:rsidRPr="001B4E27" w:rsidRDefault="008D56B9" w:rsidP="00723135">
      <w:pPr>
        <w:spacing w:before="13"/>
        <w:ind w:right="-2"/>
        <w:jc w:val="both"/>
        <w:rPr>
          <w:lang w:val="en-US"/>
        </w:rPr>
      </w:pPr>
      <w:proofErr w:type="spellStart"/>
      <w:r w:rsidRPr="001B4E27">
        <w:rPr>
          <w:color w:val="000000"/>
          <w:spacing w:val="-6"/>
          <w:w w:val="106"/>
          <w:lang w:val="en-US"/>
        </w:rPr>
        <w:t>P</w:t>
      </w:r>
      <w:r w:rsidR="00C7078D" w:rsidRPr="001B4E27">
        <w:rPr>
          <w:color w:val="000000"/>
          <w:w w:val="106"/>
          <w:lang w:val="en-US"/>
        </w:rPr>
        <w:t>aarden</w:t>
      </w:r>
      <w:r w:rsidR="00C7078D" w:rsidRPr="001B4E27">
        <w:rPr>
          <w:color w:val="000000"/>
          <w:spacing w:val="-5"/>
          <w:w w:val="106"/>
          <w:lang w:val="en-US"/>
        </w:rPr>
        <w:t>k</w:t>
      </w:r>
      <w:r w:rsidR="00C7078D" w:rsidRPr="001B4E27">
        <w:rPr>
          <w:color w:val="000000"/>
          <w:w w:val="106"/>
          <w:lang w:val="en-US"/>
        </w:rPr>
        <w:t>o</w:t>
      </w:r>
      <w:r w:rsidR="00C7078D" w:rsidRPr="001B4E27">
        <w:rPr>
          <w:color w:val="000000"/>
          <w:spacing w:val="7"/>
          <w:w w:val="106"/>
          <w:lang w:val="en-US"/>
        </w:rPr>
        <w:t>p</w:t>
      </w:r>
      <w:r w:rsidR="00C7078D" w:rsidRPr="001B4E27">
        <w:rPr>
          <w:color w:val="000000"/>
          <w:w w:val="106"/>
          <w:lang w:val="en-US"/>
        </w:rPr>
        <w:t>er</w:t>
      </w:r>
      <w:proofErr w:type="spellEnd"/>
      <w:r w:rsidR="00C7078D" w:rsidRPr="001B4E27">
        <w:rPr>
          <w:color w:val="000000"/>
          <w:w w:val="106"/>
          <w:lang w:val="en-US"/>
        </w:rPr>
        <w:t>,</w:t>
      </w:r>
      <w:r w:rsidR="00C7078D" w:rsidRPr="001B4E27">
        <w:rPr>
          <w:color w:val="000000"/>
          <w:spacing w:val="50"/>
          <w:w w:val="106"/>
          <w:lang w:val="en-US"/>
        </w:rPr>
        <w:t xml:space="preserve"> </w:t>
      </w:r>
      <w:r w:rsidR="00C7078D" w:rsidRPr="001B4E27">
        <w:rPr>
          <w:color w:val="000000"/>
          <w:lang w:val="en-US"/>
        </w:rPr>
        <w:t>K.</w:t>
      </w:r>
      <w:r w:rsidR="00C7078D" w:rsidRPr="001B4E27">
        <w:rPr>
          <w:color w:val="000000"/>
          <w:spacing w:val="60"/>
          <w:lang w:val="en-US"/>
        </w:rPr>
        <w:t xml:space="preserve"> </w:t>
      </w:r>
      <w:r w:rsidR="00C7078D" w:rsidRPr="001B4E27">
        <w:rPr>
          <w:color w:val="000000"/>
          <w:lang w:val="en-US"/>
        </w:rPr>
        <w:t>M.</w:t>
      </w:r>
      <w:r w:rsidR="00C7078D" w:rsidRPr="001B4E27">
        <w:rPr>
          <w:color w:val="000000"/>
          <w:spacing w:val="53"/>
          <w:lang w:val="en-US"/>
        </w:rPr>
        <w:t xml:space="preserve">, </w:t>
      </w:r>
      <w:r w:rsidR="00C7078D" w:rsidRPr="001B4E27">
        <w:rPr>
          <w:b/>
          <w:color w:val="000000"/>
          <w:lang w:val="en-US"/>
        </w:rPr>
        <w:t>The</w:t>
      </w:r>
      <w:r w:rsidR="00C7078D" w:rsidRPr="001B4E27">
        <w:rPr>
          <w:b/>
          <w:color w:val="000000"/>
          <w:spacing w:val="10"/>
          <w:lang w:val="en-US"/>
        </w:rPr>
        <w:t xml:space="preserve"> </w:t>
      </w:r>
      <w:r w:rsidR="00C7078D" w:rsidRPr="001B4E27">
        <w:rPr>
          <w:b/>
          <w:color w:val="000000"/>
          <w:lang w:val="en-US"/>
        </w:rPr>
        <w:t>li</w:t>
      </w:r>
      <w:r w:rsidR="00C7078D" w:rsidRPr="001B4E27">
        <w:rPr>
          <w:b/>
          <w:color w:val="000000"/>
          <w:spacing w:val="-12"/>
          <w:lang w:val="en-US"/>
        </w:rPr>
        <w:t>b</w:t>
      </w:r>
      <w:r w:rsidR="00C7078D" w:rsidRPr="001B4E27">
        <w:rPr>
          <w:b/>
          <w:color w:val="000000"/>
          <w:lang w:val="en-US"/>
        </w:rPr>
        <w:t>e</w:t>
      </w:r>
      <w:r w:rsidR="00C7078D" w:rsidRPr="001B4E27">
        <w:rPr>
          <w:b/>
          <w:color w:val="000000"/>
          <w:spacing w:val="-12"/>
          <w:lang w:val="en-US"/>
        </w:rPr>
        <w:t>r</w:t>
      </w:r>
      <w:r w:rsidR="00C7078D" w:rsidRPr="001B4E27">
        <w:rPr>
          <w:b/>
          <w:color w:val="000000"/>
          <w:lang w:val="en-US"/>
        </w:rPr>
        <w:t>alization of</w:t>
      </w:r>
      <w:r w:rsidR="00C7078D" w:rsidRPr="001B4E27">
        <w:rPr>
          <w:b/>
          <w:color w:val="000000"/>
          <w:spacing w:val="41"/>
          <w:lang w:val="en-US"/>
        </w:rPr>
        <w:t xml:space="preserve"> </w:t>
      </w:r>
      <w:r w:rsidR="00C7078D" w:rsidRPr="001B4E27">
        <w:rPr>
          <w:b/>
          <w:color w:val="000000"/>
          <w:lang w:val="en-US"/>
        </w:rPr>
        <w:t>the Eu</w:t>
      </w:r>
      <w:r w:rsidR="00C7078D" w:rsidRPr="001B4E27">
        <w:rPr>
          <w:b/>
          <w:color w:val="000000"/>
          <w:spacing w:val="-12"/>
          <w:lang w:val="en-US"/>
        </w:rPr>
        <w:t>r</w:t>
      </w:r>
      <w:r w:rsidR="00C7078D" w:rsidRPr="001B4E27">
        <w:rPr>
          <w:b/>
          <w:color w:val="000000"/>
          <w:lang w:val="en-US"/>
        </w:rPr>
        <w:t>o</w:t>
      </w:r>
      <w:r w:rsidR="00C7078D" w:rsidRPr="001B4E27">
        <w:rPr>
          <w:b/>
          <w:color w:val="000000"/>
          <w:spacing w:val="-12"/>
          <w:lang w:val="en-US"/>
        </w:rPr>
        <w:t>pe</w:t>
      </w:r>
      <w:r w:rsidR="00C7078D" w:rsidRPr="001B4E27">
        <w:rPr>
          <w:b/>
          <w:color w:val="000000"/>
          <w:lang w:val="en-US"/>
        </w:rPr>
        <w:t xml:space="preserve">an </w:t>
      </w:r>
      <w:r w:rsidR="00C7078D" w:rsidRPr="001B4E27">
        <w:rPr>
          <w:b/>
          <w:color w:val="000000"/>
          <w:spacing w:val="-12"/>
          <w:lang w:val="en-US"/>
        </w:rPr>
        <w:t>r</w:t>
      </w:r>
      <w:r w:rsidR="00C7078D" w:rsidRPr="001B4E27">
        <w:rPr>
          <w:b/>
          <w:color w:val="000000"/>
          <w:lang w:val="en-US"/>
        </w:rPr>
        <w:t>ailway</w:t>
      </w:r>
      <w:r w:rsidR="00C7078D" w:rsidRPr="001B4E27">
        <w:rPr>
          <w:b/>
          <w:color w:val="000000"/>
          <w:spacing w:val="9"/>
          <w:lang w:val="en-US"/>
        </w:rPr>
        <w:t xml:space="preserve"> </w:t>
      </w:r>
      <w:r w:rsidR="00C7078D" w:rsidRPr="001B4E27">
        <w:rPr>
          <w:b/>
          <w:color w:val="000000"/>
          <w:lang w:val="en-US"/>
        </w:rPr>
        <w:t xml:space="preserve">market: </w:t>
      </w:r>
      <w:r w:rsidR="00C7078D" w:rsidRPr="001B4E27">
        <w:rPr>
          <w:b/>
          <w:color w:val="000000"/>
          <w:spacing w:val="28"/>
          <w:lang w:val="en-US"/>
        </w:rPr>
        <w:t xml:space="preserve"> </w:t>
      </w:r>
      <w:r w:rsidR="00C7078D" w:rsidRPr="001B4E27">
        <w:rPr>
          <w:b/>
          <w:color w:val="000000"/>
          <w:lang w:val="en-US"/>
        </w:rPr>
        <w:t>the</w:t>
      </w:r>
      <w:r w:rsidR="00C7078D" w:rsidRPr="001B4E27">
        <w:rPr>
          <w:b/>
          <w:color w:val="000000"/>
          <w:spacing w:val="3"/>
          <w:lang w:val="en-US"/>
        </w:rPr>
        <w:t xml:space="preserve"> </w:t>
      </w:r>
      <w:r w:rsidR="00C7078D" w:rsidRPr="001B4E27">
        <w:rPr>
          <w:b/>
          <w:color w:val="000000"/>
          <w:spacing w:val="-12"/>
          <w:lang w:val="en-US"/>
        </w:rPr>
        <w:t>r</w:t>
      </w:r>
      <w:r w:rsidR="00C7078D" w:rsidRPr="001B4E27">
        <w:rPr>
          <w:b/>
          <w:color w:val="000000"/>
          <w:lang w:val="en-US"/>
        </w:rPr>
        <w:t>ole of</w:t>
      </w:r>
      <w:r w:rsidR="00C7078D" w:rsidRPr="001B4E27">
        <w:rPr>
          <w:b/>
          <w:lang w:val="en-US"/>
        </w:rPr>
        <w:t xml:space="preserve"> </w:t>
      </w:r>
      <w:proofErr w:type="spellStart"/>
      <w:r w:rsidR="00C7078D" w:rsidRPr="001B4E27">
        <w:rPr>
          <w:b/>
          <w:w w:val="108"/>
          <w:lang w:val="en-US"/>
        </w:rPr>
        <w:t>Inf</w:t>
      </w:r>
      <w:r w:rsidR="00C7078D" w:rsidRPr="001B4E27">
        <w:rPr>
          <w:b/>
          <w:spacing w:val="-13"/>
          <w:w w:val="108"/>
          <w:lang w:val="en-US"/>
        </w:rPr>
        <w:t>r</w:t>
      </w:r>
      <w:r w:rsidR="00C7078D" w:rsidRPr="001B4E27">
        <w:rPr>
          <w:b/>
          <w:w w:val="108"/>
          <w:lang w:val="en-US"/>
        </w:rPr>
        <w:t>astructu</w:t>
      </w:r>
      <w:r w:rsidR="00C7078D" w:rsidRPr="001B4E27">
        <w:rPr>
          <w:b/>
          <w:spacing w:val="-13"/>
          <w:w w:val="108"/>
          <w:lang w:val="en-US"/>
        </w:rPr>
        <w:t>r</w:t>
      </w:r>
      <w:r w:rsidR="00C7078D" w:rsidRPr="001B4E27">
        <w:rPr>
          <w:b/>
          <w:w w:val="108"/>
          <w:lang w:val="en-US"/>
        </w:rPr>
        <w:t>e</w:t>
      </w:r>
      <w:r w:rsidR="00C7078D" w:rsidRPr="001B4E27">
        <w:rPr>
          <w:b/>
          <w:lang w:val="en-US"/>
        </w:rPr>
        <w:t>managers</w:t>
      </w:r>
      <w:proofErr w:type="spellEnd"/>
      <w:r w:rsidR="00C7078D" w:rsidRPr="001B4E27">
        <w:rPr>
          <w:b/>
          <w:spacing w:val="10"/>
          <w:lang w:val="en-US"/>
        </w:rPr>
        <w:t xml:space="preserve"> </w:t>
      </w:r>
      <w:r w:rsidR="00C7078D" w:rsidRPr="001B4E27">
        <w:rPr>
          <w:b/>
          <w:lang w:val="en-US"/>
        </w:rPr>
        <w:t>and</w:t>
      </w:r>
      <w:r w:rsidR="004F5DBD" w:rsidRPr="001B4E27">
        <w:rPr>
          <w:b/>
          <w:spacing w:val="48"/>
          <w:lang w:val="en-US"/>
        </w:rPr>
        <w:t xml:space="preserve"> </w:t>
      </w:r>
      <w:r w:rsidR="00C7078D" w:rsidRPr="001B4E27">
        <w:rPr>
          <w:b/>
          <w:spacing w:val="-12"/>
          <w:lang w:val="en-US"/>
        </w:rPr>
        <w:t>p</w:t>
      </w:r>
      <w:r w:rsidR="00C7078D" w:rsidRPr="001B4E27">
        <w:rPr>
          <w:b/>
          <w:lang w:val="en-US"/>
        </w:rPr>
        <w:t>ort</w:t>
      </w:r>
      <w:r w:rsidR="004F5DBD" w:rsidRPr="001B4E27">
        <w:rPr>
          <w:b/>
          <w:spacing w:val="52"/>
          <w:lang w:val="en-US"/>
        </w:rPr>
        <w:t xml:space="preserve"> </w:t>
      </w:r>
      <w:r w:rsidR="00C7078D" w:rsidRPr="001B4E27">
        <w:rPr>
          <w:b/>
          <w:w w:val="107"/>
          <w:lang w:val="en-US"/>
        </w:rPr>
        <w:t>authorities</w:t>
      </w:r>
      <w:r w:rsidR="00C7078D" w:rsidRPr="001B4E27">
        <w:rPr>
          <w:w w:val="107"/>
          <w:lang w:val="en-US"/>
        </w:rPr>
        <w:t>,</w:t>
      </w:r>
      <w:r w:rsidR="00C7078D" w:rsidRPr="001B4E27">
        <w:rPr>
          <w:spacing w:val="14"/>
          <w:w w:val="107"/>
          <w:lang w:val="en-US"/>
        </w:rPr>
        <w:t xml:space="preserve"> </w:t>
      </w:r>
      <w:r w:rsidR="00C7078D" w:rsidRPr="001B4E27">
        <w:rPr>
          <w:lang w:val="en-US"/>
        </w:rPr>
        <w:t>Conference</w:t>
      </w:r>
      <w:r w:rsidR="00C7078D" w:rsidRPr="001B4E27">
        <w:rPr>
          <w:spacing w:val="30"/>
          <w:lang w:val="en-US"/>
        </w:rPr>
        <w:t xml:space="preserve"> </w:t>
      </w:r>
      <w:r w:rsidR="00C7078D" w:rsidRPr="001B4E27">
        <w:rPr>
          <w:lang w:val="en-US"/>
        </w:rPr>
        <w:t>of</w:t>
      </w:r>
      <w:r w:rsidR="00C7078D" w:rsidRPr="001B4E27">
        <w:rPr>
          <w:spacing w:val="6"/>
          <w:lang w:val="en-US"/>
        </w:rPr>
        <w:t xml:space="preserve"> </w:t>
      </w:r>
      <w:proofErr w:type="spellStart"/>
      <w:r w:rsidR="00C7078D" w:rsidRPr="001B4E27">
        <w:rPr>
          <w:lang w:val="en-US"/>
        </w:rPr>
        <w:t>TU</w:t>
      </w:r>
      <w:proofErr w:type="spellEnd"/>
      <w:r w:rsidR="00C7078D" w:rsidRPr="001B4E27">
        <w:rPr>
          <w:spacing w:val="40"/>
          <w:lang w:val="en-US"/>
        </w:rPr>
        <w:t xml:space="preserve"> </w:t>
      </w:r>
      <w:r w:rsidR="00C7078D" w:rsidRPr="001B4E27">
        <w:rPr>
          <w:w w:val="103"/>
          <w:lang w:val="en-US"/>
        </w:rPr>
        <w:t>Delft, 2009</w:t>
      </w:r>
    </w:p>
    <w:p w:rsidR="008D56B9" w:rsidRPr="001B4E27" w:rsidRDefault="008D56B9" w:rsidP="00723135">
      <w:pPr>
        <w:spacing w:before="13"/>
        <w:ind w:right="-2"/>
        <w:jc w:val="both"/>
        <w:rPr>
          <w:lang w:val="en-US"/>
        </w:rPr>
      </w:pPr>
      <w:r w:rsidRPr="001B4E27">
        <w:rPr>
          <w:lang w:val="en-US"/>
        </w:rPr>
        <w:lastRenderedPageBreak/>
        <w:t>Pham, V.</w:t>
      </w:r>
      <w:r w:rsidRPr="001B4E27">
        <w:rPr>
          <w:spacing w:val="15"/>
          <w:lang w:val="en-US"/>
        </w:rPr>
        <w:t xml:space="preserve">, </w:t>
      </w:r>
      <w:r w:rsidRPr="001B4E27">
        <w:rPr>
          <w:i/>
          <w:lang w:val="en-US"/>
        </w:rPr>
        <w:t>The</w:t>
      </w:r>
      <w:r w:rsidRPr="001B4E27">
        <w:rPr>
          <w:i/>
          <w:spacing w:val="33"/>
          <w:lang w:val="en-US"/>
        </w:rPr>
        <w:t xml:space="preserve"> </w:t>
      </w:r>
      <w:r w:rsidRPr="001B4E27">
        <w:rPr>
          <w:i/>
          <w:lang w:val="en-US"/>
        </w:rPr>
        <w:t>li</w:t>
      </w:r>
      <w:r w:rsidRPr="001B4E27">
        <w:rPr>
          <w:i/>
          <w:spacing w:val="-12"/>
          <w:lang w:val="en-US"/>
        </w:rPr>
        <w:t>b</w:t>
      </w:r>
      <w:r w:rsidRPr="001B4E27">
        <w:rPr>
          <w:i/>
          <w:lang w:val="en-US"/>
        </w:rPr>
        <w:t>e</w:t>
      </w:r>
      <w:r w:rsidRPr="001B4E27">
        <w:rPr>
          <w:i/>
          <w:spacing w:val="-12"/>
          <w:lang w:val="en-US"/>
        </w:rPr>
        <w:t>r</w:t>
      </w:r>
      <w:r w:rsidRPr="001B4E27">
        <w:rPr>
          <w:i/>
          <w:lang w:val="en-US"/>
        </w:rPr>
        <w:t>alization</w:t>
      </w:r>
      <w:r w:rsidRPr="001B4E27">
        <w:rPr>
          <w:i/>
          <w:spacing w:val="59"/>
          <w:lang w:val="en-US"/>
        </w:rPr>
        <w:t xml:space="preserve"> </w:t>
      </w:r>
      <w:r w:rsidRPr="001B4E27">
        <w:rPr>
          <w:i/>
          <w:lang w:val="en-US"/>
        </w:rPr>
        <w:t>of</w:t>
      </w:r>
      <w:r w:rsidRPr="001B4E27">
        <w:rPr>
          <w:i/>
          <w:spacing w:val="4"/>
          <w:lang w:val="en-US"/>
        </w:rPr>
        <w:t xml:space="preserve"> </w:t>
      </w:r>
      <w:r w:rsidRPr="001B4E27">
        <w:rPr>
          <w:i/>
          <w:spacing w:val="-12"/>
          <w:lang w:val="en-US"/>
        </w:rPr>
        <w:t>r</w:t>
      </w:r>
      <w:r w:rsidRPr="001B4E27">
        <w:rPr>
          <w:i/>
          <w:lang w:val="en-US"/>
        </w:rPr>
        <w:t>ail</w:t>
      </w:r>
      <w:r w:rsidRPr="001B4E27">
        <w:rPr>
          <w:i/>
          <w:spacing w:val="42"/>
          <w:lang w:val="en-US"/>
        </w:rPr>
        <w:t xml:space="preserve"> </w:t>
      </w:r>
      <w:r w:rsidRPr="001B4E27">
        <w:rPr>
          <w:i/>
          <w:w w:val="110"/>
          <w:lang w:val="en-US"/>
        </w:rPr>
        <w:t>t</w:t>
      </w:r>
      <w:r w:rsidRPr="001B4E27">
        <w:rPr>
          <w:i/>
          <w:spacing w:val="-13"/>
          <w:w w:val="110"/>
          <w:lang w:val="en-US"/>
        </w:rPr>
        <w:t>r</w:t>
      </w:r>
      <w:r w:rsidRPr="001B4E27">
        <w:rPr>
          <w:i/>
          <w:w w:val="110"/>
          <w:lang w:val="en-US"/>
        </w:rPr>
        <w:t>ans</w:t>
      </w:r>
      <w:r w:rsidRPr="001B4E27">
        <w:rPr>
          <w:i/>
          <w:spacing w:val="-13"/>
          <w:w w:val="110"/>
          <w:lang w:val="en-US"/>
        </w:rPr>
        <w:t>p</w:t>
      </w:r>
      <w:r w:rsidRPr="001B4E27">
        <w:rPr>
          <w:i/>
          <w:w w:val="110"/>
          <w:lang w:val="en-US"/>
        </w:rPr>
        <w:t>ort</w:t>
      </w:r>
      <w:r w:rsidRPr="001B4E27">
        <w:rPr>
          <w:i/>
          <w:spacing w:val="10"/>
          <w:w w:val="110"/>
          <w:lang w:val="en-US"/>
        </w:rPr>
        <w:t xml:space="preserve"> </w:t>
      </w:r>
      <w:r w:rsidRPr="001B4E27">
        <w:rPr>
          <w:i/>
          <w:lang w:val="en-US"/>
        </w:rPr>
        <w:t>in</w:t>
      </w:r>
      <w:r w:rsidRPr="001B4E27">
        <w:rPr>
          <w:i/>
          <w:spacing w:val="29"/>
          <w:lang w:val="en-US"/>
        </w:rPr>
        <w:t xml:space="preserve"> </w:t>
      </w:r>
      <w:r w:rsidRPr="001B4E27">
        <w:rPr>
          <w:i/>
          <w:lang w:val="en-US"/>
        </w:rPr>
        <w:t>the</w:t>
      </w:r>
      <w:r w:rsidRPr="001B4E27">
        <w:rPr>
          <w:i/>
          <w:spacing w:val="26"/>
          <w:lang w:val="en-US"/>
        </w:rPr>
        <w:t xml:space="preserve"> </w:t>
      </w:r>
      <w:r w:rsidRPr="001B4E27">
        <w:rPr>
          <w:i/>
          <w:lang w:val="en-US"/>
        </w:rPr>
        <w:t>Eu</w:t>
      </w:r>
      <w:r w:rsidRPr="001B4E27">
        <w:rPr>
          <w:i/>
          <w:spacing w:val="-12"/>
          <w:lang w:val="en-US"/>
        </w:rPr>
        <w:t>r</w:t>
      </w:r>
      <w:r w:rsidRPr="001B4E27">
        <w:rPr>
          <w:i/>
          <w:lang w:val="en-US"/>
        </w:rPr>
        <w:t>o</w:t>
      </w:r>
      <w:r w:rsidRPr="001B4E27">
        <w:rPr>
          <w:i/>
          <w:spacing w:val="-12"/>
          <w:lang w:val="en-US"/>
        </w:rPr>
        <w:t>pe</w:t>
      </w:r>
      <w:r w:rsidRPr="001B4E27">
        <w:rPr>
          <w:i/>
          <w:lang w:val="en-US"/>
        </w:rPr>
        <w:t>an Union</w:t>
      </w:r>
      <w:r w:rsidRPr="001B4E27">
        <w:rPr>
          <w:lang w:val="en-US"/>
        </w:rPr>
        <w:t>.</w:t>
      </w:r>
      <w:r w:rsidRPr="001B4E27">
        <w:rPr>
          <w:spacing w:val="48"/>
          <w:lang w:val="en-US"/>
        </w:rPr>
        <w:t xml:space="preserve"> </w:t>
      </w:r>
      <w:r w:rsidRPr="001B4E27">
        <w:rPr>
          <w:b/>
          <w:lang w:val="en-US"/>
        </w:rPr>
        <w:t>Economics</w:t>
      </w:r>
      <w:r w:rsidRPr="001B4E27">
        <w:rPr>
          <w:b/>
          <w:spacing w:val="20"/>
          <w:lang w:val="en-US"/>
        </w:rPr>
        <w:t xml:space="preserve"> </w:t>
      </w:r>
      <w:r w:rsidRPr="001B4E27">
        <w:rPr>
          <w:b/>
          <w:w w:val="102"/>
          <w:lang w:val="en-US"/>
        </w:rPr>
        <w:t>Honors</w:t>
      </w:r>
      <w:r w:rsidRPr="001B4E27">
        <w:rPr>
          <w:b/>
          <w:lang w:val="en-US"/>
        </w:rPr>
        <w:t xml:space="preserve"> </w:t>
      </w:r>
      <w:r w:rsidRPr="001B4E27">
        <w:rPr>
          <w:b/>
          <w:spacing w:val="-6"/>
          <w:lang w:val="en-US"/>
        </w:rPr>
        <w:t>P</w:t>
      </w:r>
      <w:r w:rsidRPr="001B4E27">
        <w:rPr>
          <w:b/>
          <w:lang w:val="en-US"/>
        </w:rPr>
        <w:t>a</w:t>
      </w:r>
      <w:r w:rsidRPr="001B4E27">
        <w:rPr>
          <w:b/>
          <w:spacing w:val="7"/>
          <w:lang w:val="en-US"/>
        </w:rPr>
        <w:t>p</w:t>
      </w:r>
      <w:r w:rsidRPr="001B4E27">
        <w:rPr>
          <w:b/>
          <w:lang w:val="en-US"/>
        </w:rPr>
        <w:t>ers</w:t>
      </w:r>
      <w:r w:rsidRPr="001B4E27">
        <w:rPr>
          <w:lang w:val="en-US"/>
        </w:rPr>
        <w:t xml:space="preserve">. </w:t>
      </w:r>
      <w:r w:rsidRPr="001B4E27">
        <w:rPr>
          <w:spacing w:val="14"/>
          <w:lang w:val="en-US"/>
        </w:rPr>
        <w:t xml:space="preserve"> </w:t>
      </w:r>
      <w:r w:rsidRPr="001B4E27">
        <w:rPr>
          <w:lang w:val="en-US"/>
        </w:rPr>
        <w:t>Economics</w:t>
      </w:r>
      <w:r w:rsidRPr="001B4E27">
        <w:rPr>
          <w:spacing w:val="30"/>
          <w:lang w:val="en-US"/>
        </w:rPr>
        <w:t xml:space="preserve"> </w:t>
      </w:r>
      <w:r w:rsidRPr="001B4E27">
        <w:rPr>
          <w:w w:val="103"/>
          <w:lang w:val="en-US"/>
        </w:rPr>
        <w:t>Dep</w:t>
      </w:r>
      <w:r w:rsidRPr="001B4E27">
        <w:rPr>
          <w:w w:val="109"/>
          <w:lang w:val="en-US"/>
        </w:rPr>
        <w:t>artme</w:t>
      </w:r>
      <w:r w:rsidRPr="001B4E27">
        <w:rPr>
          <w:spacing w:val="-5"/>
          <w:w w:val="109"/>
          <w:lang w:val="en-US"/>
        </w:rPr>
        <w:t>n</w:t>
      </w:r>
      <w:r w:rsidRPr="001B4E27">
        <w:rPr>
          <w:w w:val="136"/>
          <w:lang w:val="en-US"/>
        </w:rPr>
        <w:t>t</w:t>
      </w:r>
      <w:r w:rsidRPr="001B4E27">
        <w:rPr>
          <w:spacing w:val="18"/>
          <w:lang w:val="en-US"/>
        </w:rPr>
        <w:t xml:space="preserve"> </w:t>
      </w:r>
      <w:r w:rsidRPr="001B4E27">
        <w:rPr>
          <w:lang w:val="en-US"/>
        </w:rPr>
        <w:t>of</w:t>
      </w:r>
      <w:r w:rsidRPr="001B4E27">
        <w:rPr>
          <w:spacing w:val="6"/>
          <w:lang w:val="en-US"/>
        </w:rPr>
        <w:t xml:space="preserve"> </w:t>
      </w:r>
      <w:r w:rsidRPr="001B4E27">
        <w:rPr>
          <w:lang w:val="en-US"/>
        </w:rPr>
        <w:t>Connecticut</w:t>
      </w:r>
      <w:r w:rsidRPr="001B4E27">
        <w:rPr>
          <w:spacing w:val="29"/>
          <w:lang w:val="en-US"/>
        </w:rPr>
        <w:t xml:space="preserve"> </w:t>
      </w:r>
      <w:r w:rsidRPr="001B4E27">
        <w:rPr>
          <w:lang w:val="en-US"/>
        </w:rPr>
        <w:t>College, 2013</w:t>
      </w:r>
    </w:p>
    <w:p w:rsidR="00C7078D" w:rsidRPr="001B4E27" w:rsidRDefault="00C7078D" w:rsidP="00723135">
      <w:pPr>
        <w:ind w:right="-2"/>
        <w:jc w:val="both"/>
        <w:rPr>
          <w:w w:val="104"/>
          <w:lang w:val="en-US"/>
        </w:rPr>
      </w:pPr>
      <w:proofErr w:type="spellStart"/>
      <w:r w:rsidRPr="001B4E27">
        <w:rPr>
          <w:lang w:val="en-US"/>
        </w:rPr>
        <w:t>R</w:t>
      </w:r>
      <w:r w:rsidRPr="001B4E27">
        <w:rPr>
          <w:spacing w:val="7"/>
          <w:lang w:val="en-US"/>
        </w:rPr>
        <w:t>o</w:t>
      </w:r>
      <w:r w:rsidRPr="001B4E27">
        <w:rPr>
          <w:lang w:val="en-US"/>
        </w:rPr>
        <w:t>drigue</w:t>
      </w:r>
      <w:proofErr w:type="spellEnd"/>
      <w:r w:rsidRPr="001B4E27">
        <w:rPr>
          <w:lang w:val="en-US"/>
        </w:rPr>
        <w:t>,</w:t>
      </w:r>
      <w:r w:rsidRPr="001B4E27">
        <w:rPr>
          <w:spacing w:val="54"/>
          <w:lang w:val="en-US"/>
        </w:rPr>
        <w:t xml:space="preserve"> </w:t>
      </w:r>
      <w:r w:rsidRPr="001B4E27">
        <w:rPr>
          <w:lang w:val="en-US"/>
        </w:rPr>
        <w:t>J.-</w:t>
      </w:r>
      <w:r w:rsidRPr="001B4E27">
        <w:rPr>
          <w:spacing w:val="-19"/>
          <w:lang w:val="en-US"/>
        </w:rPr>
        <w:t>P</w:t>
      </w:r>
      <w:r w:rsidRPr="001B4E27">
        <w:rPr>
          <w:lang w:val="en-US"/>
        </w:rPr>
        <w:t xml:space="preserve">., </w:t>
      </w:r>
      <w:proofErr w:type="spellStart"/>
      <w:r w:rsidRPr="001B4E27">
        <w:rPr>
          <w:lang w:val="en-US"/>
        </w:rPr>
        <w:t>Comtois</w:t>
      </w:r>
      <w:proofErr w:type="spellEnd"/>
      <w:r w:rsidRPr="001B4E27">
        <w:rPr>
          <w:lang w:val="en-US"/>
        </w:rPr>
        <w:t xml:space="preserve">, C. and Slack, B., </w:t>
      </w:r>
      <w:proofErr w:type="gramStart"/>
      <w:r w:rsidRPr="001B4E27">
        <w:rPr>
          <w:b/>
          <w:lang w:val="en-US"/>
        </w:rPr>
        <w:t>The</w:t>
      </w:r>
      <w:proofErr w:type="gramEnd"/>
      <w:r w:rsidR="004F5DBD" w:rsidRPr="001B4E27">
        <w:rPr>
          <w:b/>
          <w:lang w:val="en-US"/>
        </w:rPr>
        <w:t xml:space="preserve"> </w:t>
      </w:r>
      <w:r w:rsidRPr="001B4E27">
        <w:rPr>
          <w:b/>
          <w:lang w:val="en-US"/>
        </w:rPr>
        <w:t>G</w:t>
      </w:r>
      <w:r w:rsidRPr="001B4E27">
        <w:rPr>
          <w:b/>
          <w:spacing w:val="-12"/>
          <w:lang w:val="en-US"/>
        </w:rPr>
        <w:t>eo</w:t>
      </w:r>
      <w:r w:rsidRPr="001B4E27">
        <w:rPr>
          <w:b/>
          <w:lang w:val="en-US"/>
        </w:rPr>
        <w:t>g</w:t>
      </w:r>
      <w:r w:rsidRPr="001B4E27">
        <w:rPr>
          <w:b/>
          <w:spacing w:val="-12"/>
          <w:lang w:val="en-US"/>
        </w:rPr>
        <w:t>r</w:t>
      </w:r>
      <w:r w:rsidRPr="001B4E27">
        <w:rPr>
          <w:b/>
          <w:lang w:val="en-US"/>
        </w:rPr>
        <w:t>aphy</w:t>
      </w:r>
      <w:r w:rsidR="004F5DBD" w:rsidRPr="001B4E27">
        <w:rPr>
          <w:b/>
          <w:spacing w:val="42"/>
          <w:lang w:val="en-US"/>
        </w:rPr>
        <w:t xml:space="preserve"> </w:t>
      </w:r>
      <w:r w:rsidRPr="001B4E27">
        <w:rPr>
          <w:b/>
          <w:lang w:val="en-US"/>
        </w:rPr>
        <w:t>of</w:t>
      </w:r>
      <w:r w:rsidRPr="001B4E27">
        <w:rPr>
          <w:b/>
          <w:spacing w:val="14"/>
          <w:lang w:val="en-US"/>
        </w:rPr>
        <w:t xml:space="preserve"> </w:t>
      </w:r>
      <w:r w:rsidRPr="001B4E27">
        <w:rPr>
          <w:b/>
          <w:spacing w:val="-20"/>
          <w:w w:val="110"/>
          <w:lang w:val="en-US"/>
        </w:rPr>
        <w:t>T</w:t>
      </w:r>
      <w:r w:rsidRPr="001B4E27">
        <w:rPr>
          <w:b/>
          <w:spacing w:val="-13"/>
          <w:w w:val="110"/>
          <w:lang w:val="en-US"/>
        </w:rPr>
        <w:t>r</w:t>
      </w:r>
      <w:r w:rsidRPr="001B4E27">
        <w:rPr>
          <w:b/>
          <w:w w:val="110"/>
          <w:lang w:val="en-US"/>
        </w:rPr>
        <w:t>ans</w:t>
      </w:r>
      <w:r w:rsidRPr="001B4E27">
        <w:rPr>
          <w:b/>
          <w:spacing w:val="-13"/>
          <w:w w:val="110"/>
          <w:lang w:val="en-US"/>
        </w:rPr>
        <w:t>p</w:t>
      </w:r>
      <w:r w:rsidRPr="001B4E27">
        <w:rPr>
          <w:b/>
          <w:w w:val="110"/>
          <w:lang w:val="en-US"/>
        </w:rPr>
        <w:t>ort</w:t>
      </w:r>
      <w:r w:rsidRPr="001B4E27">
        <w:rPr>
          <w:b/>
          <w:spacing w:val="23"/>
          <w:w w:val="110"/>
          <w:lang w:val="en-US"/>
        </w:rPr>
        <w:t xml:space="preserve"> </w:t>
      </w:r>
      <w:r w:rsidRPr="001B4E27">
        <w:rPr>
          <w:b/>
          <w:lang w:val="en-US"/>
        </w:rPr>
        <w:t>Systems</w:t>
      </w:r>
      <w:r w:rsidRPr="001B4E27">
        <w:rPr>
          <w:lang w:val="en-US"/>
        </w:rPr>
        <w:t>,</w:t>
      </w:r>
      <w:r w:rsidRPr="001B4E27">
        <w:rPr>
          <w:spacing w:val="35"/>
          <w:lang w:val="en-US"/>
        </w:rPr>
        <w:t xml:space="preserve"> </w:t>
      </w:r>
      <w:r w:rsidRPr="001B4E27">
        <w:rPr>
          <w:lang w:val="en-US"/>
        </w:rPr>
        <w:t>Routledge, New</w:t>
      </w:r>
      <w:r w:rsidRPr="001B4E27">
        <w:rPr>
          <w:spacing w:val="13"/>
          <w:lang w:val="en-US"/>
        </w:rPr>
        <w:t xml:space="preserve"> </w:t>
      </w:r>
      <w:r w:rsidRPr="001B4E27">
        <w:rPr>
          <w:spacing w:val="-20"/>
          <w:w w:val="101"/>
          <w:lang w:val="en-US"/>
        </w:rPr>
        <w:t>Y</w:t>
      </w:r>
      <w:r w:rsidRPr="001B4E27">
        <w:rPr>
          <w:w w:val="104"/>
          <w:lang w:val="en-US"/>
        </w:rPr>
        <w:t>ork, 2006</w:t>
      </w:r>
    </w:p>
    <w:p w:rsidR="00723135" w:rsidRPr="001B4E27" w:rsidRDefault="004F5DBD" w:rsidP="00723135">
      <w:pPr>
        <w:ind w:right="-2"/>
        <w:jc w:val="both"/>
        <w:rPr>
          <w:b/>
          <w:i/>
          <w:lang w:val="en-US"/>
        </w:rPr>
      </w:pPr>
      <w:r w:rsidRPr="001B4E27">
        <w:rPr>
          <w:lang w:val="en-US"/>
        </w:rPr>
        <w:t xml:space="preserve">Santos, </w:t>
      </w:r>
      <w:r w:rsidR="00723135" w:rsidRPr="001B4E27">
        <w:rPr>
          <w:lang w:val="en-US"/>
        </w:rPr>
        <w:t xml:space="preserve">B. F., Limbourg, S. and </w:t>
      </w:r>
      <w:proofErr w:type="spellStart"/>
      <w:r w:rsidR="00723135" w:rsidRPr="001B4E27">
        <w:rPr>
          <w:lang w:val="en-US"/>
        </w:rPr>
        <w:t>Carreira</w:t>
      </w:r>
      <w:proofErr w:type="spellEnd"/>
      <w:r w:rsidR="00723135" w:rsidRPr="001B4E27">
        <w:rPr>
          <w:lang w:val="en-US"/>
        </w:rPr>
        <w:t xml:space="preserve">, J. S., </w:t>
      </w:r>
      <w:r w:rsidRPr="001B4E27">
        <w:rPr>
          <w:i/>
          <w:lang w:val="en-US"/>
        </w:rPr>
        <w:t xml:space="preserve">The impact </w:t>
      </w:r>
      <w:r w:rsidR="00723135" w:rsidRPr="001B4E27">
        <w:rPr>
          <w:i/>
          <w:lang w:val="en-US"/>
        </w:rPr>
        <w:t xml:space="preserve">of </w:t>
      </w:r>
      <w:r w:rsidRPr="001B4E27">
        <w:rPr>
          <w:i/>
          <w:lang w:val="en-US"/>
        </w:rPr>
        <w:t>transport policies on railroad intermodal</w:t>
      </w:r>
      <w:r w:rsidR="00723135" w:rsidRPr="001B4E27">
        <w:rPr>
          <w:i/>
          <w:lang w:val="en-US"/>
        </w:rPr>
        <w:t xml:space="preserve"> freight competitiveness - The case of Belgium</w:t>
      </w:r>
      <w:r w:rsidR="00723135" w:rsidRPr="001B4E27">
        <w:rPr>
          <w:lang w:val="en-US"/>
        </w:rPr>
        <w:t xml:space="preserve">, </w:t>
      </w:r>
      <w:r w:rsidR="00723135" w:rsidRPr="001B4E27">
        <w:rPr>
          <w:b/>
          <w:lang w:val="en-US"/>
        </w:rPr>
        <w:t xml:space="preserve">Transportation Research </w:t>
      </w:r>
      <w:r w:rsidR="001B4E27" w:rsidRPr="001B4E27">
        <w:rPr>
          <w:b/>
          <w:lang w:val="en-US"/>
        </w:rPr>
        <w:t>Part D</w:t>
      </w:r>
      <w:r w:rsidR="00723135" w:rsidRPr="001B4E27">
        <w:rPr>
          <w:b/>
          <w:lang w:val="en-US"/>
        </w:rPr>
        <w:t>: Transport and</w:t>
      </w:r>
      <w:r w:rsidR="00723135" w:rsidRPr="001B4E27">
        <w:rPr>
          <w:b/>
          <w:i/>
          <w:lang w:val="en-US"/>
        </w:rPr>
        <w:t xml:space="preserve"> </w:t>
      </w:r>
      <w:r w:rsidR="001B4E27" w:rsidRPr="001B4E27">
        <w:rPr>
          <w:b/>
          <w:lang w:val="en-US"/>
        </w:rPr>
        <w:t>Environment</w:t>
      </w:r>
      <w:r w:rsidR="001B4E27" w:rsidRPr="001B4E27">
        <w:rPr>
          <w:lang w:val="en-US"/>
        </w:rPr>
        <w:t>,</w:t>
      </w:r>
      <w:r w:rsidR="00723135" w:rsidRPr="001B4E27">
        <w:rPr>
          <w:lang w:val="en-US"/>
        </w:rPr>
        <w:t xml:space="preserve"> 34 (1), pp. 230–244, 2015</w:t>
      </w:r>
    </w:p>
    <w:p w:rsidR="00C7078D" w:rsidRPr="001B4E27" w:rsidRDefault="00C7078D" w:rsidP="00723135">
      <w:pPr>
        <w:ind w:right="-2"/>
        <w:jc w:val="both"/>
        <w:rPr>
          <w:lang w:val="en-US"/>
        </w:rPr>
      </w:pPr>
      <w:proofErr w:type="spellStart"/>
      <w:r w:rsidRPr="001B4E27">
        <w:rPr>
          <w:lang w:val="en-US"/>
        </w:rPr>
        <w:t>Spielmann</w:t>
      </w:r>
      <w:proofErr w:type="spellEnd"/>
      <w:r w:rsidRPr="001B4E27">
        <w:rPr>
          <w:lang w:val="en-US"/>
        </w:rPr>
        <w:t xml:space="preserve">, M. and </w:t>
      </w:r>
      <w:proofErr w:type="spellStart"/>
      <w:r w:rsidRPr="001B4E27">
        <w:rPr>
          <w:lang w:val="en-US"/>
        </w:rPr>
        <w:t>Scholz</w:t>
      </w:r>
      <w:proofErr w:type="spellEnd"/>
      <w:r w:rsidRPr="001B4E27">
        <w:rPr>
          <w:lang w:val="en-US"/>
        </w:rPr>
        <w:t xml:space="preserve">, R., </w:t>
      </w:r>
      <w:r w:rsidRPr="001B4E27">
        <w:rPr>
          <w:i/>
          <w:lang w:val="en-US"/>
        </w:rPr>
        <w:t>Life Cycle Inventories of Trans</w:t>
      </w:r>
      <w:r w:rsidR="004F5DBD" w:rsidRPr="001B4E27">
        <w:rPr>
          <w:i/>
          <w:lang w:val="en-US"/>
        </w:rPr>
        <w:t xml:space="preserve">port Services: Background Data </w:t>
      </w:r>
      <w:r w:rsidRPr="001B4E27">
        <w:rPr>
          <w:i/>
          <w:lang w:val="en-US"/>
        </w:rPr>
        <w:t>for Freight Transport</w:t>
      </w:r>
      <w:r w:rsidRPr="001B4E27">
        <w:rPr>
          <w:lang w:val="en-US"/>
        </w:rPr>
        <w:t xml:space="preserve">, </w:t>
      </w:r>
      <w:proofErr w:type="gramStart"/>
      <w:r w:rsidR="004F5DBD" w:rsidRPr="001B4E27">
        <w:rPr>
          <w:b/>
          <w:lang w:val="en-US"/>
        </w:rPr>
        <w:t>The</w:t>
      </w:r>
      <w:proofErr w:type="gramEnd"/>
      <w:r w:rsidR="004F5DBD" w:rsidRPr="001B4E27">
        <w:rPr>
          <w:b/>
          <w:lang w:val="en-US"/>
        </w:rPr>
        <w:t xml:space="preserve"> International Journal </w:t>
      </w:r>
      <w:r w:rsidRPr="001B4E27">
        <w:rPr>
          <w:b/>
          <w:lang w:val="en-US"/>
        </w:rPr>
        <w:t>of Life Cycle Assessment</w:t>
      </w:r>
      <w:r w:rsidRPr="001B4E27">
        <w:rPr>
          <w:lang w:val="en-US"/>
        </w:rPr>
        <w:t>, 10 (1), pp. 85–94, 2005</w:t>
      </w:r>
    </w:p>
    <w:p w:rsidR="00EE673A" w:rsidRPr="001B4E27" w:rsidRDefault="00EE673A" w:rsidP="00723135">
      <w:pPr>
        <w:ind w:right="-2"/>
        <w:jc w:val="both"/>
        <w:rPr>
          <w:lang w:val="en-US"/>
        </w:rPr>
      </w:pPr>
      <w:r w:rsidRPr="001B4E27">
        <w:rPr>
          <w:lang w:val="en-US"/>
        </w:rPr>
        <w:t xml:space="preserve">Stevens, V. and Verhoest, K., </w:t>
      </w:r>
      <w:r w:rsidRPr="001B4E27">
        <w:rPr>
          <w:b/>
          <w:lang w:val="en-US"/>
        </w:rPr>
        <w:t>Mission impossible? Drafting a holistic government strategy for smart green freight transport in a highly conflictive multi-level governance system</w:t>
      </w:r>
      <w:r w:rsidRPr="001B4E27">
        <w:rPr>
          <w:lang w:val="en-US"/>
        </w:rPr>
        <w:t xml:space="preserve">, Conference Paper, 2nd </w:t>
      </w:r>
      <w:proofErr w:type="spellStart"/>
      <w:r w:rsidRPr="001B4E27">
        <w:rPr>
          <w:lang w:val="en-US"/>
        </w:rPr>
        <w:t>WIPCAD</w:t>
      </w:r>
      <w:proofErr w:type="spellEnd"/>
      <w:r w:rsidRPr="001B4E27">
        <w:rPr>
          <w:lang w:val="en-US"/>
        </w:rPr>
        <w:t xml:space="preserve"> Conference, 4-6 </w:t>
      </w:r>
      <w:r w:rsidR="001B4E27" w:rsidRPr="001B4E27">
        <w:rPr>
          <w:lang w:val="en-US"/>
        </w:rPr>
        <w:t>December</w:t>
      </w:r>
      <w:r w:rsidRPr="001B4E27">
        <w:rPr>
          <w:lang w:val="en-US"/>
        </w:rPr>
        <w:t xml:space="preserve"> 2014, University of Potsdam, 2014</w:t>
      </w:r>
    </w:p>
    <w:p w:rsidR="00C7078D" w:rsidRPr="001B4E27" w:rsidRDefault="00C7078D" w:rsidP="00723135">
      <w:pPr>
        <w:ind w:right="-2"/>
        <w:jc w:val="both"/>
        <w:rPr>
          <w:lang w:val="en-US"/>
        </w:rPr>
      </w:pPr>
      <w:proofErr w:type="spellStart"/>
      <w:r w:rsidRPr="001B4E27">
        <w:rPr>
          <w:lang w:val="en-US"/>
        </w:rPr>
        <w:t>Tavasszy</w:t>
      </w:r>
      <w:proofErr w:type="spellEnd"/>
      <w:r w:rsidRPr="001B4E27">
        <w:rPr>
          <w:lang w:val="en-US"/>
        </w:rPr>
        <w:t xml:space="preserve">, L. A. and Van </w:t>
      </w:r>
      <w:proofErr w:type="spellStart"/>
      <w:r w:rsidRPr="001B4E27">
        <w:rPr>
          <w:lang w:val="en-US"/>
        </w:rPr>
        <w:t>Meijeren</w:t>
      </w:r>
      <w:proofErr w:type="spellEnd"/>
      <w:r w:rsidRPr="001B4E27">
        <w:rPr>
          <w:lang w:val="en-US"/>
        </w:rPr>
        <w:t xml:space="preserve">, J., </w:t>
      </w:r>
      <w:r w:rsidRPr="001B4E27">
        <w:rPr>
          <w:b/>
          <w:lang w:val="en-US"/>
        </w:rPr>
        <w:t>Modal shift target for freight transport above 300 km : an assessment</w:t>
      </w:r>
      <w:r w:rsidRPr="001B4E27">
        <w:rPr>
          <w:lang w:val="en-US"/>
        </w:rPr>
        <w:t xml:space="preserve">, discussion paper, Brussels, 17th </w:t>
      </w:r>
      <w:proofErr w:type="spellStart"/>
      <w:r w:rsidRPr="001B4E27">
        <w:rPr>
          <w:lang w:val="en-US"/>
        </w:rPr>
        <w:t>ACEA</w:t>
      </w:r>
      <w:proofErr w:type="spellEnd"/>
      <w:r w:rsidRPr="001B4E27">
        <w:rPr>
          <w:lang w:val="en-US"/>
        </w:rPr>
        <w:t xml:space="preserve"> SAG Meeting, 2011</w:t>
      </w:r>
    </w:p>
    <w:p w:rsidR="00646A3E" w:rsidRPr="001B4E27" w:rsidRDefault="00646A3E" w:rsidP="00723135">
      <w:pPr>
        <w:ind w:right="-2"/>
        <w:jc w:val="both"/>
        <w:rPr>
          <w:lang w:val="en-US"/>
        </w:rPr>
      </w:pPr>
      <w:proofErr w:type="spellStart"/>
      <w:r w:rsidRPr="001B4E27">
        <w:rPr>
          <w:lang w:val="en-US"/>
        </w:rPr>
        <w:t>UPTR</w:t>
      </w:r>
      <w:proofErr w:type="spellEnd"/>
      <w:r w:rsidRPr="001B4E27">
        <w:rPr>
          <w:lang w:val="en-US"/>
        </w:rPr>
        <w:t xml:space="preserve">, </w:t>
      </w:r>
      <w:proofErr w:type="spellStart"/>
      <w:r w:rsidR="001B4E27" w:rsidRPr="001B4E27">
        <w:rPr>
          <w:b/>
          <w:lang w:val="en-US"/>
        </w:rPr>
        <w:t>Prélèvement</w:t>
      </w:r>
      <w:proofErr w:type="spellEnd"/>
      <w:r w:rsidR="001B4E27" w:rsidRPr="001B4E27">
        <w:rPr>
          <w:b/>
          <w:lang w:val="en-US"/>
        </w:rPr>
        <w:t xml:space="preserve"> </w:t>
      </w:r>
      <w:proofErr w:type="spellStart"/>
      <w:r w:rsidR="001B4E27" w:rsidRPr="001B4E27">
        <w:rPr>
          <w:b/>
          <w:lang w:val="en-US"/>
        </w:rPr>
        <w:t>kilomé</w:t>
      </w:r>
      <w:r w:rsidRPr="001B4E27">
        <w:rPr>
          <w:b/>
          <w:lang w:val="en-US"/>
        </w:rPr>
        <w:t>trique</w:t>
      </w:r>
      <w:proofErr w:type="spellEnd"/>
      <w:r w:rsidRPr="001B4E27">
        <w:rPr>
          <w:b/>
          <w:lang w:val="en-US"/>
        </w:rPr>
        <w:t xml:space="preserve"> : Position  </w:t>
      </w:r>
      <w:proofErr w:type="spellStart"/>
      <w:r w:rsidRPr="001B4E27">
        <w:rPr>
          <w:b/>
          <w:lang w:val="en-US"/>
        </w:rPr>
        <w:t>UPTR</w:t>
      </w:r>
      <w:proofErr w:type="spellEnd"/>
      <w:r w:rsidR="004F5DBD" w:rsidRPr="001B4E27">
        <w:rPr>
          <w:lang w:val="en-US"/>
        </w:rPr>
        <w:t xml:space="preserve">, </w:t>
      </w:r>
      <w:proofErr w:type="spellStart"/>
      <w:r w:rsidRPr="001B4E27">
        <w:rPr>
          <w:lang w:val="en-US"/>
        </w:rPr>
        <w:t>url</w:t>
      </w:r>
      <w:proofErr w:type="spellEnd"/>
      <w:r w:rsidRPr="001B4E27">
        <w:rPr>
          <w:lang w:val="en-US"/>
        </w:rPr>
        <w:t xml:space="preserve">: </w:t>
      </w:r>
      <w:hyperlink r:id="rId18">
        <w:r w:rsidRPr="001B4E27">
          <w:rPr>
            <w:lang w:val="en-US"/>
          </w:rPr>
          <w:t>http:</w:t>
        </w:r>
      </w:hyperlink>
      <w:hyperlink r:id="rId19">
        <w:r w:rsidRPr="001B4E27">
          <w:rPr>
            <w:lang w:val="en-US"/>
          </w:rPr>
          <w:t>//</w:t>
        </w:r>
        <w:proofErr w:type="spellStart"/>
        <w:r w:rsidRPr="001B4E27">
          <w:rPr>
            <w:lang w:val="en-US"/>
          </w:rPr>
          <w:t>www.uptr.be</w:t>
        </w:r>
        <w:proofErr w:type="spellEnd"/>
        <w:r w:rsidRPr="001B4E27">
          <w:rPr>
            <w:lang w:val="en-US"/>
          </w:rPr>
          <w:t>/</w:t>
        </w:r>
        <w:r w:rsidR="004F5DBD" w:rsidRPr="001B4E27">
          <w:rPr>
            <w:lang w:val="en-US"/>
          </w:rPr>
          <w:br/>
        </w:r>
        <w:r w:rsidRPr="001B4E27">
          <w:rPr>
            <w:lang w:val="en-US"/>
          </w:rPr>
          <w:t>theme/medias/upload/1Pr%C3%A9l%C3%A8vement%20kilom%C3%</w:t>
        </w:r>
      </w:hyperlink>
      <w:hyperlink r:id="rId20">
        <w:r w:rsidR="00FB494B" w:rsidRPr="001B4E27">
          <w:rPr>
            <w:lang w:val="en-US"/>
          </w:rPr>
          <w:t>A9</w:t>
        </w:r>
        <w:r w:rsidRPr="001B4E27">
          <w:rPr>
            <w:lang w:val="en-US"/>
          </w:rPr>
          <w:t>trique%20-%20position%20UPTR.pdf</w:t>
        </w:r>
      </w:hyperlink>
      <w:r w:rsidRPr="001B4E27">
        <w:rPr>
          <w:lang w:val="en-US"/>
        </w:rPr>
        <w:t>, 2015</w:t>
      </w:r>
    </w:p>
    <w:p w:rsidR="008D56B9" w:rsidRPr="001B4E27" w:rsidRDefault="008D56B9" w:rsidP="00723135">
      <w:pPr>
        <w:ind w:right="-2"/>
        <w:jc w:val="both"/>
        <w:rPr>
          <w:lang w:val="en-US"/>
        </w:rPr>
      </w:pPr>
      <w:proofErr w:type="spellStart"/>
      <w:r w:rsidRPr="001B4E27">
        <w:rPr>
          <w:lang w:val="en-US"/>
        </w:rPr>
        <w:t>Vandressen</w:t>
      </w:r>
      <w:proofErr w:type="spellEnd"/>
      <w:r w:rsidRPr="001B4E27">
        <w:rPr>
          <w:lang w:val="en-US"/>
        </w:rPr>
        <w:t xml:space="preserve">, M., </w:t>
      </w:r>
      <w:proofErr w:type="spellStart"/>
      <w:r w:rsidRPr="001B4E27">
        <w:rPr>
          <w:lang w:val="en-US"/>
        </w:rPr>
        <w:t>Gusbin</w:t>
      </w:r>
      <w:proofErr w:type="spellEnd"/>
      <w:r w:rsidRPr="001B4E27">
        <w:rPr>
          <w:lang w:val="en-US"/>
        </w:rPr>
        <w:t xml:space="preserve">, D., </w:t>
      </w:r>
      <w:proofErr w:type="spellStart"/>
      <w:r w:rsidRPr="001B4E27">
        <w:rPr>
          <w:lang w:val="en-US"/>
        </w:rPr>
        <w:t>Hertveldt</w:t>
      </w:r>
      <w:proofErr w:type="spellEnd"/>
      <w:r w:rsidRPr="001B4E27">
        <w:rPr>
          <w:lang w:val="en-US"/>
        </w:rPr>
        <w:t xml:space="preserve">, B. and Hoornaert, B., </w:t>
      </w:r>
      <w:proofErr w:type="spellStart"/>
      <w:r w:rsidRPr="001B4E27">
        <w:rPr>
          <w:b/>
          <w:lang w:val="en-US"/>
        </w:rPr>
        <w:t>Vooruitzichten</w:t>
      </w:r>
      <w:proofErr w:type="spellEnd"/>
      <w:r w:rsidRPr="001B4E27">
        <w:rPr>
          <w:b/>
          <w:lang w:val="en-US"/>
        </w:rPr>
        <w:t xml:space="preserve"> van de </w:t>
      </w:r>
      <w:proofErr w:type="spellStart"/>
      <w:r w:rsidRPr="001B4E27">
        <w:rPr>
          <w:b/>
          <w:lang w:val="en-US"/>
        </w:rPr>
        <w:t>transportvraag</w:t>
      </w:r>
      <w:proofErr w:type="spellEnd"/>
      <w:r w:rsidRPr="001B4E27">
        <w:rPr>
          <w:b/>
          <w:lang w:val="en-US"/>
        </w:rPr>
        <w:t xml:space="preserve"> in </w:t>
      </w:r>
      <w:proofErr w:type="spellStart"/>
      <w:r w:rsidRPr="001B4E27">
        <w:rPr>
          <w:b/>
          <w:lang w:val="en-US"/>
        </w:rPr>
        <w:t>Belgie</w:t>
      </w:r>
      <w:proofErr w:type="spellEnd"/>
      <w:r w:rsidRPr="001B4E27">
        <w:rPr>
          <w:b/>
          <w:lang w:val="en-US"/>
        </w:rPr>
        <w:t xml:space="preserve"> </w:t>
      </w:r>
      <w:proofErr w:type="spellStart"/>
      <w:r w:rsidRPr="001B4E27">
        <w:rPr>
          <w:b/>
          <w:lang w:val="en-US"/>
        </w:rPr>
        <w:t>tegen</w:t>
      </w:r>
      <w:proofErr w:type="spellEnd"/>
      <w:r w:rsidRPr="001B4E27">
        <w:rPr>
          <w:b/>
          <w:lang w:val="en-US"/>
        </w:rPr>
        <w:t xml:space="preserve"> 2030</w:t>
      </w:r>
      <w:r w:rsidRPr="001B4E27">
        <w:rPr>
          <w:lang w:val="en-US"/>
        </w:rPr>
        <w:t xml:space="preserve">, </w:t>
      </w:r>
      <w:proofErr w:type="spellStart"/>
      <w:r w:rsidRPr="001B4E27">
        <w:rPr>
          <w:lang w:val="en-US"/>
        </w:rPr>
        <w:t>Verslag</w:t>
      </w:r>
      <w:proofErr w:type="spellEnd"/>
      <w:r w:rsidRPr="001B4E27">
        <w:rPr>
          <w:lang w:val="en-US"/>
        </w:rPr>
        <w:t xml:space="preserve">, </w:t>
      </w:r>
      <w:proofErr w:type="spellStart"/>
      <w:r w:rsidRPr="001B4E27">
        <w:rPr>
          <w:lang w:val="en-US"/>
        </w:rPr>
        <w:t>Federaal</w:t>
      </w:r>
      <w:proofErr w:type="spellEnd"/>
      <w:r w:rsidRPr="001B4E27">
        <w:rPr>
          <w:lang w:val="en-US"/>
        </w:rPr>
        <w:t xml:space="preserve">  </w:t>
      </w:r>
      <w:proofErr w:type="spellStart"/>
      <w:r w:rsidRPr="001B4E27">
        <w:rPr>
          <w:lang w:val="en-US"/>
        </w:rPr>
        <w:t>Planbureau</w:t>
      </w:r>
      <w:proofErr w:type="spellEnd"/>
      <w:r w:rsidRPr="001B4E27">
        <w:rPr>
          <w:lang w:val="en-US"/>
        </w:rPr>
        <w:t>, Brussels, 2012</w:t>
      </w:r>
    </w:p>
    <w:p w:rsidR="00B60466" w:rsidRPr="001B4E27" w:rsidRDefault="00B60466" w:rsidP="00723135">
      <w:pPr>
        <w:ind w:right="-2"/>
        <w:jc w:val="both"/>
        <w:rPr>
          <w:lang w:val="en-US"/>
        </w:rPr>
      </w:pPr>
      <w:r w:rsidRPr="001B4E27">
        <w:rPr>
          <w:lang w:val="en-US"/>
        </w:rPr>
        <w:t xml:space="preserve">Vanelslander, T. and Sys, C., </w:t>
      </w:r>
      <w:r w:rsidRPr="001B4E27">
        <w:rPr>
          <w:b/>
          <w:lang w:val="en-US"/>
        </w:rPr>
        <w:t>Port</w:t>
      </w:r>
      <w:r w:rsidRPr="001B4E27">
        <w:rPr>
          <w:b/>
          <w:spacing w:val="59"/>
          <w:lang w:val="en-US"/>
        </w:rPr>
        <w:t xml:space="preserve"> </w:t>
      </w:r>
      <w:r w:rsidRPr="001B4E27">
        <w:rPr>
          <w:b/>
          <w:lang w:val="en-US"/>
        </w:rPr>
        <w:t>business:</w:t>
      </w:r>
      <w:r w:rsidRPr="001B4E27">
        <w:rPr>
          <w:b/>
          <w:spacing w:val="25"/>
          <w:lang w:val="en-US"/>
        </w:rPr>
        <w:t xml:space="preserve"> </w:t>
      </w:r>
      <w:r w:rsidRPr="001B4E27">
        <w:rPr>
          <w:b/>
          <w:lang w:val="en-US"/>
        </w:rPr>
        <w:t>market</w:t>
      </w:r>
      <w:r w:rsidRPr="001B4E27">
        <w:rPr>
          <w:b/>
          <w:spacing w:val="40"/>
          <w:lang w:val="en-US"/>
        </w:rPr>
        <w:t xml:space="preserve"> </w:t>
      </w:r>
      <w:r w:rsidRPr="001B4E27">
        <w:rPr>
          <w:b/>
          <w:lang w:val="en-US"/>
        </w:rPr>
        <w:t>cha</w:t>
      </w:r>
      <w:r w:rsidRPr="001B4E27">
        <w:rPr>
          <w:b/>
          <w:spacing w:val="12"/>
          <w:lang w:val="en-US"/>
        </w:rPr>
        <w:t>l</w:t>
      </w:r>
      <w:r w:rsidRPr="001B4E27">
        <w:rPr>
          <w:b/>
          <w:lang w:val="en-US"/>
        </w:rPr>
        <w:t>lenges</w:t>
      </w:r>
      <w:r w:rsidRPr="001B4E27">
        <w:rPr>
          <w:b/>
          <w:spacing w:val="5"/>
          <w:lang w:val="en-US"/>
        </w:rPr>
        <w:t xml:space="preserve"> </w:t>
      </w:r>
      <w:r w:rsidRPr="001B4E27">
        <w:rPr>
          <w:b/>
          <w:lang w:val="en-US"/>
        </w:rPr>
        <w:t>and</w:t>
      </w:r>
      <w:r w:rsidRPr="001B4E27">
        <w:rPr>
          <w:b/>
          <w:spacing w:val="31"/>
          <w:lang w:val="en-US"/>
        </w:rPr>
        <w:t xml:space="preserve"> </w:t>
      </w:r>
      <w:r w:rsidRPr="001B4E27">
        <w:rPr>
          <w:b/>
          <w:lang w:val="en-US"/>
        </w:rPr>
        <w:t>management</w:t>
      </w:r>
      <w:r w:rsidRPr="001B4E27">
        <w:rPr>
          <w:b/>
          <w:spacing w:val="56"/>
          <w:lang w:val="en-US"/>
        </w:rPr>
        <w:t xml:space="preserve"> </w:t>
      </w:r>
      <w:r w:rsidRPr="001B4E27">
        <w:rPr>
          <w:b/>
          <w:w w:val="107"/>
          <w:lang w:val="en-US"/>
        </w:rPr>
        <w:t>actions</w:t>
      </w:r>
      <w:r w:rsidRPr="001B4E27">
        <w:rPr>
          <w:w w:val="107"/>
          <w:lang w:val="en-US"/>
        </w:rPr>
        <w:t>, University Press Antwerp, Brussels, 2014</w:t>
      </w:r>
    </w:p>
    <w:sectPr w:rsidR="00B60466" w:rsidRPr="001B4E27" w:rsidSect="007758D5">
      <w:headerReference w:type="even" r:id="rId21"/>
      <w:headerReference w:type="default" r:id="rId22"/>
      <w:footerReference w:type="even" r:id="rId23"/>
      <w:footerReference w:type="default" r:id="rId24"/>
      <w:pgSz w:w="11906" w:h="16838" w:code="9"/>
      <w:pgMar w:top="1418" w:right="1134" w:bottom="1134"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56" w:rsidRDefault="00DA5C56">
      <w:r>
        <w:separator/>
      </w:r>
    </w:p>
  </w:endnote>
  <w:endnote w:type="continuationSeparator" w:id="0">
    <w:p w:rsidR="00DA5C56" w:rsidRDefault="00DA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B" w:rsidRDefault="00285AFB">
    <w:pPr>
      <w:pStyle w:val="Footer"/>
    </w:pPr>
    <w:r>
      <w:rPr>
        <w:rStyle w:val="PageNumber"/>
      </w:rPr>
      <w:fldChar w:fldCharType="begin"/>
    </w:r>
    <w:r>
      <w:rPr>
        <w:rStyle w:val="PageNumber"/>
      </w:rPr>
      <w:instrText xml:space="preserve"> PAGE </w:instrText>
    </w:r>
    <w:r>
      <w:rPr>
        <w:rStyle w:val="PageNumber"/>
      </w:rPr>
      <w:fldChar w:fldCharType="separate"/>
    </w:r>
    <w:r w:rsidR="00DF6DD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B" w:rsidRDefault="00285AFB" w:rsidP="00201C53">
    <w:pPr>
      <w:pStyle w:val="Footer"/>
      <w:jc w:val="right"/>
    </w:pPr>
    <w:r>
      <w:tab/>
    </w:r>
    <w:r>
      <w:fldChar w:fldCharType="begin"/>
    </w:r>
    <w:r>
      <w:instrText xml:space="preserve"> PAGE </w:instrText>
    </w:r>
    <w:r>
      <w:fldChar w:fldCharType="separate"/>
    </w:r>
    <w:r w:rsidR="00DF6DD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56" w:rsidRDefault="00DA5C56">
      <w:r>
        <w:separator/>
      </w:r>
    </w:p>
  </w:footnote>
  <w:footnote w:type="continuationSeparator" w:id="0">
    <w:p w:rsidR="00DA5C56" w:rsidRDefault="00DA5C56">
      <w:r>
        <w:continuationSeparator/>
      </w:r>
    </w:p>
  </w:footnote>
  <w:footnote w:id="1">
    <w:p w:rsidR="00285AFB" w:rsidRPr="00A2111B" w:rsidRDefault="00285AFB" w:rsidP="00B64F99">
      <w:pPr>
        <w:pStyle w:val="FootnoteText"/>
        <w:jc w:val="both"/>
        <w:rPr>
          <w:lang w:val="en-US"/>
        </w:rPr>
      </w:pPr>
      <w:r w:rsidRPr="00A2111B">
        <w:rPr>
          <w:rStyle w:val="FootnoteReference"/>
          <w:lang w:val="en-US"/>
        </w:rPr>
        <w:footnoteRef/>
      </w:r>
      <w:r w:rsidRPr="00A2111B">
        <w:rPr>
          <w:lang w:val="en-US"/>
        </w:rPr>
        <w:t xml:space="preserve"> University of Antwerp, Faculty of Applied Economics, Department of Transport and Regional Economics</w:t>
      </w:r>
    </w:p>
  </w:footnote>
  <w:footnote w:id="2">
    <w:p w:rsidR="00285AFB" w:rsidRPr="00A2111B" w:rsidRDefault="00285AFB" w:rsidP="00B64F99">
      <w:pPr>
        <w:pStyle w:val="FootnoteText"/>
        <w:jc w:val="both"/>
        <w:rPr>
          <w:lang w:val="en-US"/>
        </w:rPr>
      </w:pPr>
      <w:r w:rsidRPr="00A2111B">
        <w:rPr>
          <w:rStyle w:val="FootnoteReference"/>
          <w:lang w:val="en-US"/>
        </w:rPr>
        <w:footnoteRef/>
      </w:r>
      <w:r w:rsidRPr="00A2111B">
        <w:rPr>
          <w:lang w:val="en-US"/>
        </w:rPr>
        <w:t xml:space="preserve"> University of Liege, </w:t>
      </w:r>
      <w:r w:rsidR="002F6359" w:rsidRPr="00A2111B">
        <w:rPr>
          <w:lang w:val="en-US"/>
        </w:rPr>
        <w:t>Department</w:t>
      </w:r>
      <w:r w:rsidRPr="00A2111B">
        <w:rPr>
          <w:lang w:val="en-US"/>
        </w:rPr>
        <w:t xml:space="preserve"> of Chemical Engineering, </w:t>
      </w:r>
      <w:r w:rsidR="002F6359" w:rsidRPr="00A2111B">
        <w:rPr>
          <w:lang w:val="en-US"/>
        </w:rPr>
        <w:t>PEP</w:t>
      </w:r>
      <w:r w:rsidR="001305E1" w:rsidRPr="00A2111B">
        <w:rPr>
          <w:lang w:val="en-US"/>
        </w:rPr>
        <w:t>S</w:t>
      </w:r>
      <w:r w:rsidRPr="00A2111B">
        <w:rPr>
          <w:lang w:val="en-US"/>
        </w:rPr>
        <w:t xml:space="preserve"> « </w:t>
      </w:r>
      <w:r w:rsidR="002F6359" w:rsidRPr="00A2111B">
        <w:rPr>
          <w:lang w:val="en-US"/>
        </w:rPr>
        <w:t>Products, Environment, Processes</w:t>
      </w:r>
      <w:r w:rsidRPr="00A2111B">
        <w:rPr>
          <w:lang w:val="en-US"/>
        </w:rPr>
        <w:t> »</w:t>
      </w:r>
    </w:p>
  </w:footnote>
  <w:footnote w:id="3">
    <w:p w:rsidR="00285AFB" w:rsidRPr="00A2111B" w:rsidRDefault="00285AFB" w:rsidP="00B64F99">
      <w:pPr>
        <w:pStyle w:val="FootnoteText"/>
        <w:jc w:val="both"/>
        <w:rPr>
          <w:lang w:val="en-US"/>
        </w:rPr>
      </w:pPr>
      <w:r w:rsidRPr="00A2111B">
        <w:rPr>
          <w:rStyle w:val="FootnoteReference"/>
          <w:lang w:val="en-US"/>
        </w:rPr>
        <w:footnoteRef/>
      </w:r>
      <w:r w:rsidRPr="00A2111B">
        <w:rPr>
          <w:lang w:val="en-US"/>
        </w:rPr>
        <w:t xml:space="preserve"> University of Liege, Research Centre in Quantitative Methods and Operations Management</w:t>
      </w:r>
    </w:p>
  </w:footnote>
  <w:footnote w:id="4">
    <w:p w:rsidR="00285AFB" w:rsidRPr="00A2111B" w:rsidRDefault="00285AFB" w:rsidP="00B64F99">
      <w:pPr>
        <w:pStyle w:val="FootnoteText"/>
        <w:jc w:val="both"/>
        <w:rPr>
          <w:lang w:val="en-US"/>
        </w:rPr>
      </w:pPr>
      <w:r w:rsidRPr="00A2111B">
        <w:rPr>
          <w:rStyle w:val="FootnoteReference"/>
          <w:lang w:val="en-US"/>
        </w:rPr>
        <w:footnoteRef/>
      </w:r>
      <w:r w:rsidRPr="00A2111B">
        <w:rPr>
          <w:lang w:val="en-US"/>
        </w:rPr>
        <w:t xml:space="preserve"> University of Antwerp, Faculty of Social Sciences, Department of Political Science, Research Group on Public Administration &amp; Management</w:t>
      </w:r>
    </w:p>
  </w:footnote>
  <w:footnote w:id="5">
    <w:p w:rsidR="0043331A" w:rsidRPr="00A2111B" w:rsidRDefault="0043331A">
      <w:pPr>
        <w:pStyle w:val="FootnoteText"/>
        <w:rPr>
          <w:lang w:val="en-US"/>
        </w:rPr>
      </w:pPr>
      <w:r w:rsidRPr="00A2111B">
        <w:rPr>
          <w:rStyle w:val="FootnoteReference"/>
          <w:lang w:val="en-US"/>
        </w:rPr>
        <w:footnoteRef/>
      </w:r>
      <w:r w:rsidRPr="00A2111B">
        <w:rPr>
          <w:lang w:val="en-US"/>
        </w:rPr>
        <w:t xml:space="preserve"> This includes </w:t>
      </w:r>
      <w:r w:rsidR="00A2111B" w:rsidRPr="00A2111B">
        <w:rPr>
          <w:lang w:val="en-US"/>
        </w:rPr>
        <w:t xml:space="preserve">conventional cargo and </w:t>
      </w:r>
      <w:r w:rsidRPr="00A2111B">
        <w:rPr>
          <w:lang w:val="en-US"/>
        </w:rPr>
        <w:t xml:space="preserve">block trains, where rail freight trains run directly between the port and companies with an on-site rail connection, without </w:t>
      </w:r>
      <w:proofErr w:type="spellStart"/>
      <w:r w:rsidRPr="00A2111B">
        <w:rPr>
          <w:lang w:val="en-US"/>
        </w:rPr>
        <w:t>transhipment</w:t>
      </w:r>
      <w:proofErr w:type="spellEnd"/>
      <w:r w:rsidRPr="00A2111B">
        <w:rPr>
          <w:lang w:val="en-US"/>
        </w:rPr>
        <w:t xml:space="preserve"> </w:t>
      </w:r>
      <w:r w:rsidR="001B4E27" w:rsidRPr="00A2111B">
        <w:rPr>
          <w:lang w:val="en-US"/>
        </w:rPr>
        <w:t>to</w:t>
      </w:r>
      <w:r w:rsidRPr="00A2111B">
        <w:rPr>
          <w:lang w:val="en-US"/>
        </w:rPr>
        <w:t xml:space="preserve"> another mode of transport. According to Grosso (2011), Intermodal transport can be defined as « the movement of goods in one and the same loading unit or vehicle, which uses successfully several modes of transport without handling of the goods themselves in transshipment between the modes ». In this respect, the share of intermodal rail transport is even lower.</w:t>
      </w:r>
    </w:p>
  </w:footnote>
  <w:footnote w:id="6">
    <w:p w:rsidR="00285AFB" w:rsidRPr="00A2111B" w:rsidRDefault="00285AFB" w:rsidP="00B64F99">
      <w:pPr>
        <w:jc w:val="both"/>
        <w:rPr>
          <w:sz w:val="20"/>
          <w:szCs w:val="20"/>
          <w:lang w:val="en-US"/>
        </w:rPr>
      </w:pPr>
      <w:r w:rsidRPr="00A2111B">
        <w:rPr>
          <w:rStyle w:val="FootnoteReference"/>
          <w:sz w:val="20"/>
          <w:szCs w:val="20"/>
          <w:lang w:val="en-US"/>
        </w:rPr>
        <w:footnoteRef/>
      </w:r>
      <w:r w:rsidRPr="00A2111B">
        <w:rPr>
          <w:sz w:val="20"/>
          <w:szCs w:val="20"/>
          <w:lang w:val="en-US"/>
        </w:rPr>
        <w:t xml:space="preserve"> Belgian Research Action through Interdisciplinary Networks - </w:t>
      </w:r>
      <w:proofErr w:type="spellStart"/>
      <w:r w:rsidRPr="00A2111B">
        <w:rPr>
          <w:sz w:val="20"/>
          <w:szCs w:val="20"/>
          <w:lang w:val="en-US"/>
        </w:rPr>
        <w:t>TRansversal</w:t>
      </w:r>
      <w:proofErr w:type="spellEnd"/>
      <w:r w:rsidRPr="00A2111B">
        <w:rPr>
          <w:sz w:val="20"/>
          <w:szCs w:val="20"/>
          <w:lang w:val="en-US"/>
        </w:rPr>
        <w:t xml:space="preserve"> Assessment of new </w:t>
      </w:r>
      <w:proofErr w:type="spellStart"/>
      <w:r w:rsidRPr="00A2111B">
        <w:rPr>
          <w:sz w:val="20"/>
          <w:szCs w:val="20"/>
          <w:lang w:val="en-US"/>
        </w:rPr>
        <w:t>INtermodal</w:t>
      </w:r>
      <w:proofErr w:type="spellEnd"/>
      <w:r w:rsidRPr="00A2111B">
        <w:rPr>
          <w:sz w:val="20"/>
          <w:szCs w:val="20"/>
          <w:lang w:val="en-US"/>
        </w:rPr>
        <w:t xml:space="preserve"> Strategies - https://</w:t>
      </w:r>
      <w:proofErr w:type="spellStart"/>
      <w:r w:rsidRPr="00A2111B">
        <w:rPr>
          <w:sz w:val="20"/>
          <w:szCs w:val="20"/>
          <w:lang w:val="en-US"/>
        </w:rPr>
        <w:t>www.brain-trains.be</w:t>
      </w:r>
      <w:proofErr w:type="spellEnd"/>
    </w:p>
  </w:footnote>
  <w:footnote w:id="7">
    <w:p w:rsidR="00285AFB" w:rsidRPr="00A2111B" w:rsidRDefault="00285AFB" w:rsidP="00B64F99">
      <w:pPr>
        <w:pStyle w:val="FootnoteText"/>
        <w:jc w:val="both"/>
        <w:rPr>
          <w:lang w:val="en-US"/>
        </w:rPr>
      </w:pPr>
      <w:r w:rsidRPr="00A2111B">
        <w:rPr>
          <w:rStyle w:val="FootnoteReference"/>
          <w:lang w:val="en-US"/>
        </w:rPr>
        <w:footnoteRef/>
      </w:r>
      <w:r w:rsidRPr="00A2111B">
        <w:rPr>
          <w:lang w:val="en-US"/>
        </w:rPr>
        <w:t xml:space="preserve"> In the next phase of the BRAIN-TRAINS project, the presented SWOT analysis will lead to a number of plausible scenarios, as a common interdisciplinary starting point for further analysis. These results will be integrated and analyzed, in order to create indicators for intermodal rail transport development in Belgium.</w:t>
      </w:r>
    </w:p>
  </w:footnote>
  <w:footnote w:id="8">
    <w:p w:rsidR="00285AFB" w:rsidRPr="00A2111B" w:rsidRDefault="00285AFB" w:rsidP="00B64F99">
      <w:pPr>
        <w:pStyle w:val="FootnoteText"/>
        <w:jc w:val="both"/>
        <w:rPr>
          <w:lang w:val="en-US"/>
        </w:rPr>
      </w:pPr>
      <w:r w:rsidRPr="00A2111B">
        <w:rPr>
          <w:rStyle w:val="FootnoteReference"/>
          <w:lang w:val="en-US"/>
        </w:rPr>
        <w:footnoteRef/>
      </w:r>
      <w:r w:rsidRPr="00A2111B">
        <w:rPr>
          <w:lang w:val="en-US"/>
        </w:rPr>
        <w:t xml:space="preserve"> </w:t>
      </w:r>
      <w:r w:rsidRPr="00A2111B">
        <w:rPr>
          <w:bCs/>
          <w:lang w:val="en-US"/>
        </w:rPr>
        <w:t>The results of the part on governance and policy-making are based upon a case study of the development of rail freight intermodality in Belgium. This policy analysis draws on a detailed process-tracing, based on an analysis of parliamentary documents and a series of interviews with government officials. It is difficult to rank the outcomes of the policy analysis according to the methodology mentioned above. Therefore, the results of this case study are not presented in sections 3.1 to 3.4, but instead summarized in section 3.5.</w:t>
      </w:r>
    </w:p>
  </w:footnote>
  <w:footnote w:id="9">
    <w:p w:rsidR="00285AFB" w:rsidRPr="00A2111B" w:rsidRDefault="00285AFB">
      <w:pPr>
        <w:pStyle w:val="FootnoteText"/>
        <w:rPr>
          <w:lang w:val="en-US"/>
        </w:rPr>
      </w:pPr>
      <w:r w:rsidRPr="00A2111B">
        <w:rPr>
          <w:rStyle w:val="FootnoteReference"/>
          <w:lang w:val="en-US"/>
        </w:rPr>
        <w:footnoteRef/>
      </w:r>
      <w:r w:rsidRPr="00A2111B">
        <w:rPr>
          <w:lang w:val="en-US"/>
        </w:rPr>
        <w:t xml:space="preserve"> These competences are exclusive, equivalent material competences, which means that there is no hierarchy between a federal or regional legal norm.</w:t>
      </w:r>
    </w:p>
  </w:footnote>
  <w:footnote w:id="10">
    <w:p w:rsidR="00285AFB" w:rsidRPr="00A2111B" w:rsidRDefault="00285AFB">
      <w:pPr>
        <w:pStyle w:val="FootnoteText"/>
        <w:rPr>
          <w:lang w:val="en-US"/>
        </w:rPr>
      </w:pPr>
      <w:r w:rsidRPr="00A2111B">
        <w:rPr>
          <w:rStyle w:val="FootnoteReference"/>
          <w:lang w:val="en-US"/>
        </w:rPr>
        <w:footnoteRef/>
      </w:r>
      <w:r w:rsidRPr="00A2111B">
        <w:rPr>
          <w:lang w:val="en-US"/>
        </w:rPr>
        <w:t xml:space="preserve"> Economic affairs, spatial planning, environment, finance and justice.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B" w:rsidRPr="005A1CA1" w:rsidRDefault="00285AFB" w:rsidP="005A1CA1">
    <w:pPr>
      <w:pStyle w:val="Header"/>
      <w:jc w:val="center"/>
      <w:rPr>
        <w:b/>
        <w:bCs/>
        <w:sz w:val="20"/>
        <w:szCs w:val="20"/>
        <w:lang w:val="en-GB"/>
      </w:rPr>
    </w:pPr>
    <w:proofErr w:type="spellStart"/>
    <w:r w:rsidRPr="00201C53">
      <w:rPr>
        <w:b/>
        <w:bCs/>
        <w:sz w:val="20"/>
        <w:szCs w:val="20"/>
        <w:lang w:val="en-GB"/>
      </w:rPr>
      <w:t>BIVEC</w:t>
    </w:r>
    <w:proofErr w:type="spellEnd"/>
    <w:r w:rsidRPr="00201C53">
      <w:rPr>
        <w:b/>
        <w:bCs/>
        <w:sz w:val="20"/>
        <w:szCs w:val="20"/>
        <w:lang w:val="en-GB"/>
      </w:rPr>
      <w:t>/</w:t>
    </w:r>
    <w:proofErr w:type="spellStart"/>
    <w:r w:rsidRPr="00201C53">
      <w:rPr>
        <w:b/>
        <w:bCs/>
        <w:sz w:val="20"/>
        <w:szCs w:val="20"/>
        <w:lang w:val="en-GB"/>
      </w:rPr>
      <w:t>GI</w:t>
    </w:r>
    <w:r>
      <w:rPr>
        <w:b/>
        <w:bCs/>
        <w:sz w:val="20"/>
        <w:szCs w:val="20"/>
        <w:lang w:val="en-GB"/>
      </w:rPr>
      <w:t>BET</w:t>
    </w:r>
    <w:proofErr w:type="spellEnd"/>
    <w:r>
      <w:rPr>
        <w:b/>
        <w:bCs/>
        <w:sz w:val="20"/>
        <w:szCs w:val="20"/>
        <w:lang w:val="en-GB"/>
      </w:rPr>
      <w:t xml:space="preserve"> Transport Research Day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FB" w:rsidRPr="00201C53" w:rsidRDefault="00285AFB" w:rsidP="00201C53">
    <w:pPr>
      <w:pStyle w:val="Header"/>
      <w:jc w:val="center"/>
      <w:rPr>
        <w:b/>
        <w:bCs/>
        <w:sz w:val="20"/>
        <w:szCs w:val="20"/>
        <w:lang w:val="en-GB"/>
      </w:rPr>
    </w:pPr>
    <w:r w:rsidRPr="00201C53">
      <w:rPr>
        <w:b/>
        <w:bCs/>
        <w:sz w:val="20"/>
        <w:szCs w:val="20"/>
        <w:lang w:val="en-GB"/>
      </w:rPr>
      <w:t>BIVEC/GIBET Transport Research Day 201</w:t>
    </w:r>
    <w:r>
      <w:rPr>
        <w:b/>
        <w:bCs/>
        <w:sz w:val="20"/>
        <w:szCs w:val="20"/>
        <w:lang w:val="en-G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2C8C"/>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13D91B46"/>
    <w:multiLevelType w:val="multilevel"/>
    <w:tmpl w:val="59547F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4414687"/>
    <w:multiLevelType w:val="multilevel"/>
    <w:tmpl w:val="F7BCA2A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3E057D1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5AC21E43"/>
    <w:multiLevelType w:val="hybridMultilevel"/>
    <w:tmpl w:val="6CE631D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6D0B15BC"/>
    <w:multiLevelType w:val="hybridMultilevel"/>
    <w:tmpl w:val="200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3076A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7F983095"/>
    <w:multiLevelType w:val="hybridMultilevel"/>
    <w:tmpl w:val="1E1C91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51"/>
    <w:rsid w:val="000054C2"/>
    <w:rsid w:val="000131C9"/>
    <w:rsid w:val="00013A2C"/>
    <w:rsid w:val="000157D7"/>
    <w:rsid w:val="000205E5"/>
    <w:rsid w:val="0002517A"/>
    <w:rsid w:val="00031195"/>
    <w:rsid w:val="00043224"/>
    <w:rsid w:val="00046E8B"/>
    <w:rsid w:val="00050399"/>
    <w:rsid w:val="00060FEB"/>
    <w:rsid w:val="00061171"/>
    <w:rsid w:val="00063E61"/>
    <w:rsid w:val="00065D23"/>
    <w:rsid w:val="000803FF"/>
    <w:rsid w:val="000A75A1"/>
    <w:rsid w:val="000A75F6"/>
    <w:rsid w:val="000A7802"/>
    <w:rsid w:val="000B7B61"/>
    <w:rsid w:val="000C31E7"/>
    <w:rsid w:val="000E1255"/>
    <w:rsid w:val="000E48C1"/>
    <w:rsid w:val="000F1C88"/>
    <w:rsid w:val="00101FF1"/>
    <w:rsid w:val="001064AF"/>
    <w:rsid w:val="0011414A"/>
    <w:rsid w:val="001305E1"/>
    <w:rsid w:val="00135F15"/>
    <w:rsid w:val="0013639E"/>
    <w:rsid w:val="001370F5"/>
    <w:rsid w:val="001632E7"/>
    <w:rsid w:val="00164A09"/>
    <w:rsid w:val="00172DBE"/>
    <w:rsid w:val="001864C0"/>
    <w:rsid w:val="001A6A87"/>
    <w:rsid w:val="001B3DB5"/>
    <w:rsid w:val="001B4E27"/>
    <w:rsid w:val="001B5EE5"/>
    <w:rsid w:val="001B6D37"/>
    <w:rsid w:val="001B73E3"/>
    <w:rsid w:val="001C0A30"/>
    <w:rsid w:val="001D7DEB"/>
    <w:rsid w:val="001F0135"/>
    <w:rsid w:val="001F4761"/>
    <w:rsid w:val="001F73C4"/>
    <w:rsid w:val="00201C53"/>
    <w:rsid w:val="00211B88"/>
    <w:rsid w:val="0021759C"/>
    <w:rsid w:val="002273BA"/>
    <w:rsid w:val="00245260"/>
    <w:rsid w:val="00251A84"/>
    <w:rsid w:val="00272D79"/>
    <w:rsid w:val="00285AFB"/>
    <w:rsid w:val="00297C46"/>
    <w:rsid w:val="002A4038"/>
    <w:rsid w:val="002A6092"/>
    <w:rsid w:val="002C7BEF"/>
    <w:rsid w:val="002D5013"/>
    <w:rsid w:val="002F37E9"/>
    <w:rsid w:val="002F6359"/>
    <w:rsid w:val="002F7150"/>
    <w:rsid w:val="00307393"/>
    <w:rsid w:val="00310145"/>
    <w:rsid w:val="00312029"/>
    <w:rsid w:val="003146E8"/>
    <w:rsid w:val="003275ED"/>
    <w:rsid w:val="00336A55"/>
    <w:rsid w:val="00347CDD"/>
    <w:rsid w:val="003551FC"/>
    <w:rsid w:val="003571CF"/>
    <w:rsid w:val="00381F1D"/>
    <w:rsid w:val="0038439B"/>
    <w:rsid w:val="0039471E"/>
    <w:rsid w:val="003A5639"/>
    <w:rsid w:val="003C3FE7"/>
    <w:rsid w:val="003D60A0"/>
    <w:rsid w:val="003E5680"/>
    <w:rsid w:val="003F3A7C"/>
    <w:rsid w:val="003F6EC7"/>
    <w:rsid w:val="00410112"/>
    <w:rsid w:val="00415041"/>
    <w:rsid w:val="0042299B"/>
    <w:rsid w:val="00426303"/>
    <w:rsid w:val="0043331A"/>
    <w:rsid w:val="004540EC"/>
    <w:rsid w:val="004810B2"/>
    <w:rsid w:val="00484D6B"/>
    <w:rsid w:val="004B459C"/>
    <w:rsid w:val="004C0E0C"/>
    <w:rsid w:val="004C474E"/>
    <w:rsid w:val="004E1C57"/>
    <w:rsid w:val="004E7F4A"/>
    <w:rsid w:val="004F0839"/>
    <w:rsid w:val="004F3E97"/>
    <w:rsid w:val="004F5DBD"/>
    <w:rsid w:val="004F6E18"/>
    <w:rsid w:val="00500980"/>
    <w:rsid w:val="005137EC"/>
    <w:rsid w:val="00527CF8"/>
    <w:rsid w:val="00532A10"/>
    <w:rsid w:val="0054487B"/>
    <w:rsid w:val="00551BD9"/>
    <w:rsid w:val="00552F70"/>
    <w:rsid w:val="0055740A"/>
    <w:rsid w:val="005609BE"/>
    <w:rsid w:val="005640D5"/>
    <w:rsid w:val="00575AA2"/>
    <w:rsid w:val="005A06A2"/>
    <w:rsid w:val="005A1BC3"/>
    <w:rsid w:val="005A1CA1"/>
    <w:rsid w:val="005A513E"/>
    <w:rsid w:val="005B79B2"/>
    <w:rsid w:val="005C03AB"/>
    <w:rsid w:val="005C0848"/>
    <w:rsid w:val="005C46D6"/>
    <w:rsid w:val="005C473D"/>
    <w:rsid w:val="005C4E22"/>
    <w:rsid w:val="005F0669"/>
    <w:rsid w:val="005F54B8"/>
    <w:rsid w:val="006008E0"/>
    <w:rsid w:val="006101D6"/>
    <w:rsid w:val="00625471"/>
    <w:rsid w:val="00635D61"/>
    <w:rsid w:val="00635D6F"/>
    <w:rsid w:val="00637377"/>
    <w:rsid w:val="00646A3E"/>
    <w:rsid w:val="0065063C"/>
    <w:rsid w:val="0065361C"/>
    <w:rsid w:val="006566DC"/>
    <w:rsid w:val="006601EE"/>
    <w:rsid w:val="00665D1F"/>
    <w:rsid w:val="006720BD"/>
    <w:rsid w:val="0068033D"/>
    <w:rsid w:val="006817BF"/>
    <w:rsid w:val="006B1851"/>
    <w:rsid w:val="006B1EFB"/>
    <w:rsid w:val="00703DF0"/>
    <w:rsid w:val="00716DCA"/>
    <w:rsid w:val="00723135"/>
    <w:rsid w:val="00732385"/>
    <w:rsid w:val="00734BFB"/>
    <w:rsid w:val="00737CD7"/>
    <w:rsid w:val="007403FF"/>
    <w:rsid w:val="007523D7"/>
    <w:rsid w:val="00761850"/>
    <w:rsid w:val="007748F8"/>
    <w:rsid w:val="007758D5"/>
    <w:rsid w:val="00780976"/>
    <w:rsid w:val="00781454"/>
    <w:rsid w:val="00792D21"/>
    <w:rsid w:val="00795CFC"/>
    <w:rsid w:val="007A743C"/>
    <w:rsid w:val="007A7ED1"/>
    <w:rsid w:val="007E253F"/>
    <w:rsid w:val="007E562C"/>
    <w:rsid w:val="007E7A15"/>
    <w:rsid w:val="00801FA5"/>
    <w:rsid w:val="008034C9"/>
    <w:rsid w:val="0082223B"/>
    <w:rsid w:val="00824D5C"/>
    <w:rsid w:val="0083249E"/>
    <w:rsid w:val="008379EC"/>
    <w:rsid w:val="00837E5E"/>
    <w:rsid w:val="00841500"/>
    <w:rsid w:val="00851411"/>
    <w:rsid w:val="0085200D"/>
    <w:rsid w:val="00863E23"/>
    <w:rsid w:val="00865105"/>
    <w:rsid w:val="0087317A"/>
    <w:rsid w:val="00883A0F"/>
    <w:rsid w:val="00886B3B"/>
    <w:rsid w:val="00892862"/>
    <w:rsid w:val="00895E74"/>
    <w:rsid w:val="008A13F7"/>
    <w:rsid w:val="008A70DF"/>
    <w:rsid w:val="008D56B9"/>
    <w:rsid w:val="008E4EDE"/>
    <w:rsid w:val="00905F5C"/>
    <w:rsid w:val="00906C85"/>
    <w:rsid w:val="00907810"/>
    <w:rsid w:val="00915F8F"/>
    <w:rsid w:val="00921DA3"/>
    <w:rsid w:val="00953C37"/>
    <w:rsid w:val="00957D60"/>
    <w:rsid w:val="009735B8"/>
    <w:rsid w:val="00975728"/>
    <w:rsid w:val="00984C51"/>
    <w:rsid w:val="009A6BEC"/>
    <w:rsid w:val="009B1F82"/>
    <w:rsid w:val="009C719E"/>
    <w:rsid w:val="009C7B92"/>
    <w:rsid w:val="009E3E5E"/>
    <w:rsid w:val="009E6303"/>
    <w:rsid w:val="00A01840"/>
    <w:rsid w:val="00A2111B"/>
    <w:rsid w:val="00A41DAC"/>
    <w:rsid w:val="00A42597"/>
    <w:rsid w:val="00A4361C"/>
    <w:rsid w:val="00A44C1C"/>
    <w:rsid w:val="00A54E22"/>
    <w:rsid w:val="00A54F19"/>
    <w:rsid w:val="00A6043F"/>
    <w:rsid w:val="00A74E8A"/>
    <w:rsid w:val="00A7770A"/>
    <w:rsid w:val="00A84AA1"/>
    <w:rsid w:val="00A94956"/>
    <w:rsid w:val="00A97AC6"/>
    <w:rsid w:val="00A97DA1"/>
    <w:rsid w:val="00AA5489"/>
    <w:rsid w:val="00AC672D"/>
    <w:rsid w:val="00AE0C4D"/>
    <w:rsid w:val="00AF040B"/>
    <w:rsid w:val="00AF1197"/>
    <w:rsid w:val="00AF34F0"/>
    <w:rsid w:val="00AF48C3"/>
    <w:rsid w:val="00B05DD7"/>
    <w:rsid w:val="00B15383"/>
    <w:rsid w:val="00B21D24"/>
    <w:rsid w:val="00B26A2A"/>
    <w:rsid w:val="00B277C7"/>
    <w:rsid w:val="00B409E0"/>
    <w:rsid w:val="00B53C82"/>
    <w:rsid w:val="00B5723F"/>
    <w:rsid w:val="00B60466"/>
    <w:rsid w:val="00B619A8"/>
    <w:rsid w:val="00B64F99"/>
    <w:rsid w:val="00B721D7"/>
    <w:rsid w:val="00B805AB"/>
    <w:rsid w:val="00BA5838"/>
    <w:rsid w:val="00BB2209"/>
    <w:rsid w:val="00BB3FE6"/>
    <w:rsid w:val="00BD1DB0"/>
    <w:rsid w:val="00BE2C34"/>
    <w:rsid w:val="00C06337"/>
    <w:rsid w:val="00C102FA"/>
    <w:rsid w:val="00C3119B"/>
    <w:rsid w:val="00C330CF"/>
    <w:rsid w:val="00C37A09"/>
    <w:rsid w:val="00C533BC"/>
    <w:rsid w:val="00C54B84"/>
    <w:rsid w:val="00C6371A"/>
    <w:rsid w:val="00C63AF3"/>
    <w:rsid w:val="00C7078D"/>
    <w:rsid w:val="00C82899"/>
    <w:rsid w:val="00C85A8A"/>
    <w:rsid w:val="00CA47AE"/>
    <w:rsid w:val="00CA7F4E"/>
    <w:rsid w:val="00CC62D1"/>
    <w:rsid w:val="00CD1D77"/>
    <w:rsid w:val="00CE1B49"/>
    <w:rsid w:val="00CF4573"/>
    <w:rsid w:val="00CF49BB"/>
    <w:rsid w:val="00D0356E"/>
    <w:rsid w:val="00D11973"/>
    <w:rsid w:val="00D157B5"/>
    <w:rsid w:val="00D62932"/>
    <w:rsid w:val="00D87D1C"/>
    <w:rsid w:val="00D95733"/>
    <w:rsid w:val="00D9591C"/>
    <w:rsid w:val="00DA5C56"/>
    <w:rsid w:val="00DB5002"/>
    <w:rsid w:val="00DC4BD1"/>
    <w:rsid w:val="00DC59A5"/>
    <w:rsid w:val="00DD50F6"/>
    <w:rsid w:val="00DE36F3"/>
    <w:rsid w:val="00DF1CFD"/>
    <w:rsid w:val="00DF691F"/>
    <w:rsid w:val="00DF6DD8"/>
    <w:rsid w:val="00E01E54"/>
    <w:rsid w:val="00E03050"/>
    <w:rsid w:val="00E056BD"/>
    <w:rsid w:val="00E10FD3"/>
    <w:rsid w:val="00E116DF"/>
    <w:rsid w:val="00E42D1A"/>
    <w:rsid w:val="00E50771"/>
    <w:rsid w:val="00E6123D"/>
    <w:rsid w:val="00E87B3F"/>
    <w:rsid w:val="00E92C13"/>
    <w:rsid w:val="00E9513F"/>
    <w:rsid w:val="00EA24E6"/>
    <w:rsid w:val="00EA635D"/>
    <w:rsid w:val="00EC3C32"/>
    <w:rsid w:val="00EC5FBF"/>
    <w:rsid w:val="00EC65E7"/>
    <w:rsid w:val="00EC6AFA"/>
    <w:rsid w:val="00EE673A"/>
    <w:rsid w:val="00EF2961"/>
    <w:rsid w:val="00EF5B0E"/>
    <w:rsid w:val="00EF72B7"/>
    <w:rsid w:val="00F01E5C"/>
    <w:rsid w:val="00F05056"/>
    <w:rsid w:val="00F12682"/>
    <w:rsid w:val="00F343B5"/>
    <w:rsid w:val="00F374A0"/>
    <w:rsid w:val="00F411ED"/>
    <w:rsid w:val="00F429CB"/>
    <w:rsid w:val="00F46079"/>
    <w:rsid w:val="00F549D6"/>
    <w:rsid w:val="00F717D4"/>
    <w:rsid w:val="00F752D2"/>
    <w:rsid w:val="00F75876"/>
    <w:rsid w:val="00FA279D"/>
    <w:rsid w:val="00FA6F9C"/>
    <w:rsid w:val="00FB361C"/>
    <w:rsid w:val="00FB494B"/>
    <w:rsid w:val="00FC2E63"/>
    <w:rsid w:val="00FC606A"/>
    <w:rsid w:val="00FE11B0"/>
    <w:rsid w:val="00FF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55EDFC-133E-4490-B59A-C88B88F6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link w:val="Heading1Char"/>
    <w:uiPriority w:val="9"/>
    <w:qFormat/>
    <w:rsid w:val="00B60466"/>
    <w:pPr>
      <w:keepNext/>
      <w:numPr>
        <w:numId w:val="6"/>
      </w:numPr>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B60466"/>
    <w:pPr>
      <w:keepNext/>
      <w:numPr>
        <w:ilvl w:val="1"/>
        <w:numId w:val="6"/>
      </w:numPr>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B60466"/>
    <w:pPr>
      <w:keepNext/>
      <w:numPr>
        <w:ilvl w:val="2"/>
        <w:numId w:val="6"/>
      </w:numPr>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
    <w:semiHidden/>
    <w:unhideWhenUsed/>
    <w:qFormat/>
    <w:rsid w:val="00B60466"/>
    <w:pPr>
      <w:keepNext/>
      <w:numPr>
        <w:ilvl w:val="3"/>
        <w:numId w:val="6"/>
      </w:numPr>
      <w:spacing w:before="240" w:after="60"/>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rsid w:val="00B60466"/>
    <w:pPr>
      <w:numPr>
        <w:ilvl w:val="4"/>
        <w:numId w:val="6"/>
      </w:num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B60466"/>
    <w:pPr>
      <w:numPr>
        <w:ilvl w:val="5"/>
        <w:numId w:val="6"/>
      </w:numPr>
      <w:spacing w:before="240" w:after="6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B60466"/>
    <w:pPr>
      <w:numPr>
        <w:ilvl w:val="6"/>
        <w:numId w:val="6"/>
      </w:numPr>
      <w:spacing w:before="240" w:after="60"/>
      <w:outlineLvl w:val="6"/>
    </w:pPr>
    <w:rPr>
      <w:rFonts w:ascii="Calibri" w:hAnsi="Calibri"/>
      <w:lang w:val="en-US" w:eastAsia="en-US"/>
    </w:rPr>
  </w:style>
  <w:style w:type="paragraph" w:styleId="Heading8">
    <w:name w:val="heading 8"/>
    <w:basedOn w:val="Normal"/>
    <w:next w:val="Normal"/>
    <w:link w:val="Heading8Char"/>
    <w:uiPriority w:val="9"/>
    <w:semiHidden/>
    <w:unhideWhenUsed/>
    <w:qFormat/>
    <w:rsid w:val="00B60466"/>
    <w:pPr>
      <w:numPr>
        <w:ilvl w:val="7"/>
        <w:numId w:val="6"/>
      </w:num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
    <w:semiHidden/>
    <w:unhideWhenUsed/>
    <w:qFormat/>
    <w:rsid w:val="00B60466"/>
    <w:pPr>
      <w:numPr>
        <w:ilvl w:val="8"/>
        <w:numId w:val="6"/>
      </w:numPr>
      <w:spacing w:before="240" w:after="6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C53"/>
    <w:pPr>
      <w:tabs>
        <w:tab w:val="center" w:pos="4536"/>
        <w:tab w:val="right" w:pos="9072"/>
      </w:tabs>
    </w:pPr>
  </w:style>
  <w:style w:type="paragraph" w:styleId="Footer">
    <w:name w:val="footer"/>
    <w:basedOn w:val="Normal"/>
    <w:rsid w:val="00201C53"/>
    <w:pPr>
      <w:tabs>
        <w:tab w:val="center" w:pos="4536"/>
        <w:tab w:val="right" w:pos="9072"/>
      </w:tabs>
    </w:pPr>
  </w:style>
  <w:style w:type="paragraph" w:styleId="FootnoteText">
    <w:name w:val="footnote text"/>
    <w:basedOn w:val="Normal"/>
    <w:semiHidden/>
    <w:rsid w:val="00201C53"/>
    <w:rPr>
      <w:sz w:val="20"/>
      <w:szCs w:val="20"/>
    </w:rPr>
  </w:style>
  <w:style w:type="character" w:styleId="FootnoteReference">
    <w:name w:val="footnote reference"/>
    <w:semiHidden/>
    <w:rsid w:val="00201C53"/>
    <w:rPr>
      <w:vertAlign w:val="superscript"/>
    </w:rPr>
  </w:style>
  <w:style w:type="table" w:styleId="TableGrid">
    <w:name w:val="Table Grid"/>
    <w:basedOn w:val="TableNormal"/>
    <w:rsid w:val="0065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752D2"/>
    <w:pPr>
      <w:spacing w:before="120" w:after="120"/>
    </w:pPr>
    <w:rPr>
      <w:b/>
      <w:bCs/>
      <w:sz w:val="20"/>
      <w:szCs w:val="20"/>
    </w:rPr>
  </w:style>
  <w:style w:type="character" w:styleId="Hyperlink">
    <w:name w:val="Hyperlink"/>
    <w:rsid w:val="008E4EDE"/>
    <w:rPr>
      <w:color w:val="0000FF"/>
      <w:u w:val="single"/>
    </w:rPr>
  </w:style>
  <w:style w:type="character" w:styleId="PageNumber">
    <w:name w:val="page number"/>
    <w:basedOn w:val="DefaultParagraphFont"/>
    <w:rsid w:val="005A1CA1"/>
  </w:style>
  <w:style w:type="character" w:customStyle="1" w:styleId="Heading1Char">
    <w:name w:val="Heading 1 Char"/>
    <w:basedOn w:val="DefaultParagraphFont"/>
    <w:link w:val="Heading1"/>
    <w:uiPriority w:val="9"/>
    <w:rsid w:val="00B60466"/>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semiHidden/>
    <w:rsid w:val="00B60466"/>
    <w:rPr>
      <w:rFonts w:ascii="Cambria" w:hAnsi="Cambria"/>
      <w:b/>
      <w:bCs/>
      <w:i/>
      <w:iCs/>
      <w:sz w:val="28"/>
      <w:szCs w:val="28"/>
      <w:lang w:val="en-US" w:eastAsia="en-US"/>
    </w:rPr>
  </w:style>
  <w:style w:type="character" w:customStyle="1" w:styleId="Heading3Char">
    <w:name w:val="Heading 3 Char"/>
    <w:basedOn w:val="DefaultParagraphFont"/>
    <w:link w:val="Heading3"/>
    <w:uiPriority w:val="9"/>
    <w:semiHidden/>
    <w:rsid w:val="00B60466"/>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B60466"/>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B60466"/>
    <w:rPr>
      <w:rFonts w:ascii="Calibri" w:hAnsi="Calibri"/>
      <w:b/>
      <w:bCs/>
      <w:i/>
      <w:iCs/>
      <w:sz w:val="26"/>
      <w:szCs w:val="26"/>
      <w:lang w:val="en-US" w:eastAsia="en-US"/>
    </w:rPr>
  </w:style>
  <w:style w:type="character" w:customStyle="1" w:styleId="Heading6Char">
    <w:name w:val="Heading 6 Char"/>
    <w:basedOn w:val="DefaultParagraphFont"/>
    <w:link w:val="Heading6"/>
    <w:rsid w:val="00B60466"/>
    <w:rPr>
      <w:b/>
      <w:bCs/>
      <w:sz w:val="22"/>
      <w:szCs w:val="22"/>
      <w:lang w:val="en-US" w:eastAsia="en-US"/>
    </w:rPr>
  </w:style>
  <w:style w:type="character" w:customStyle="1" w:styleId="Heading7Char">
    <w:name w:val="Heading 7 Char"/>
    <w:basedOn w:val="DefaultParagraphFont"/>
    <w:link w:val="Heading7"/>
    <w:uiPriority w:val="9"/>
    <w:semiHidden/>
    <w:rsid w:val="00B60466"/>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B60466"/>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B60466"/>
    <w:rPr>
      <w:rFonts w:ascii="Cambria" w:hAnsi="Cambria"/>
      <w:sz w:val="22"/>
      <w:szCs w:val="22"/>
      <w:lang w:val="en-US" w:eastAsia="en-US"/>
    </w:rPr>
  </w:style>
  <w:style w:type="paragraph" w:styleId="ListParagraph">
    <w:name w:val="List Paragraph"/>
    <w:basedOn w:val="Normal"/>
    <w:uiPriority w:val="34"/>
    <w:qFormat/>
    <w:rsid w:val="007A743C"/>
    <w:pPr>
      <w:ind w:left="720"/>
      <w:contextualSpacing/>
    </w:pPr>
  </w:style>
  <w:style w:type="paragraph" w:styleId="BalloonText">
    <w:name w:val="Balloon Text"/>
    <w:basedOn w:val="Normal"/>
    <w:link w:val="BalloonTextChar"/>
    <w:uiPriority w:val="99"/>
    <w:semiHidden/>
    <w:unhideWhenUsed/>
    <w:rsid w:val="00FB4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94B"/>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5869">
      <w:bodyDiv w:val="1"/>
      <w:marLeft w:val="0"/>
      <w:marRight w:val="0"/>
      <w:marTop w:val="0"/>
      <w:marBottom w:val="0"/>
      <w:divBdr>
        <w:top w:val="none" w:sz="0" w:space="0" w:color="auto"/>
        <w:left w:val="none" w:sz="0" w:space="0" w:color="auto"/>
        <w:bottom w:val="none" w:sz="0" w:space="0" w:color="auto"/>
        <w:right w:val="none" w:sz="0" w:space="0" w:color="auto"/>
      </w:divBdr>
    </w:div>
    <w:div w:id="456293187">
      <w:bodyDiv w:val="1"/>
      <w:marLeft w:val="0"/>
      <w:marRight w:val="0"/>
      <w:marTop w:val="0"/>
      <w:marBottom w:val="0"/>
      <w:divBdr>
        <w:top w:val="none" w:sz="0" w:space="0" w:color="auto"/>
        <w:left w:val="none" w:sz="0" w:space="0" w:color="auto"/>
        <w:bottom w:val="none" w:sz="0" w:space="0" w:color="auto"/>
        <w:right w:val="none" w:sz="0" w:space="0" w:color="auto"/>
      </w:divBdr>
    </w:div>
    <w:div w:id="521669463">
      <w:bodyDiv w:val="1"/>
      <w:marLeft w:val="0"/>
      <w:marRight w:val="0"/>
      <w:marTop w:val="0"/>
      <w:marBottom w:val="0"/>
      <w:divBdr>
        <w:top w:val="none" w:sz="0" w:space="0" w:color="auto"/>
        <w:left w:val="none" w:sz="0" w:space="0" w:color="auto"/>
        <w:bottom w:val="none" w:sz="0" w:space="0" w:color="auto"/>
        <w:right w:val="none" w:sz="0" w:space="0" w:color="auto"/>
      </w:divBdr>
    </w:div>
    <w:div w:id="536504977">
      <w:bodyDiv w:val="1"/>
      <w:marLeft w:val="0"/>
      <w:marRight w:val="0"/>
      <w:marTop w:val="0"/>
      <w:marBottom w:val="0"/>
      <w:divBdr>
        <w:top w:val="none" w:sz="0" w:space="0" w:color="auto"/>
        <w:left w:val="none" w:sz="0" w:space="0" w:color="auto"/>
        <w:bottom w:val="none" w:sz="0" w:space="0" w:color="auto"/>
        <w:right w:val="none" w:sz="0" w:space="0" w:color="auto"/>
      </w:divBdr>
    </w:div>
    <w:div w:id="667514955">
      <w:bodyDiv w:val="1"/>
      <w:marLeft w:val="0"/>
      <w:marRight w:val="0"/>
      <w:marTop w:val="0"/>
      <w:marBottom w:val="0"/>
      <w:divBdr>
        <w:top w:val="none" w:sz="0" w:space="0" w:color="auto"/>
        <w:left w:val="none" w:sz="0" w:space="0" w:color="auto"/>
        <w:bottom w:val="none" w:sz="0" w:space="0" w:color="auto"/>
        <w:right w:val="none" w:sz="0" w:space="0" w:color="auto"/>
      </w:divBdr>
    </w:div>
    <w:div w:id="754740010">
      <w:bodyDiv w:val="1"/>
      <w:marLeft w:val="0"/>
      <w:marRight w:val="0"/>
      <w:marTop w:val="0"/>
      <w:marBottom w:val="0"/>
      <w:divBdr>
        <w:top w:val="none" w:sz="0" w:space="0" w:color="auto"/>
        <w:left w:val="none" w:sz="0" w:space="0" w:color="auto"/>
        <w:bottom w:val="none" w:sz="0" w:space="0" w:color="auto"/>
        <w:right w:val="none" w:sz="0" w:space="0" w:color="auto"/>
      </w:divBdr>
    </w:div>
    <w:div w:id="819273016">
      <w:bodyDiv w:val="1"/>
      <w:marLeft w:val="0"/>
      <w:marRight w:val="0"/>
      <w:marTop w:val="0"/>
      <w:marBottom w:val="0"/>
      <w:divBdr>
        <w:top w:val="none" w:sz="0" w:space="0" w:color="auto"/>
        <w:left w:val="none" w:sz="0" w:space="0" w:color="auto"/>
        <w:bottom w:val="none" w:sz="0" w:space="0" w:color="auto"/>
        <w:right w:val="none" w:sz="0" w:space="0" w:color="auto"/>
      </w:divBdr>
    </w:div>
    <w:div w:id="1142884642">
      <w:bodyDiv w:val="1"/>
      <w:marLeft w:val="0"/>
      <w:marRight w:val="0"/>
      <w:marTop w:val="0"/>
      <w:marBottom w:val="0"/>
      <w:divBdr>
        <w:top w:val="none" w:sz="0" w:space="0" w:color="auto"/>
        <w:left w:val="none" w:sz="0" w:space="0" w:color="auto"/>
        <w:bottom w:val="none" w:sz="0" w:space="0" w:color="auto"/>
        <w:right w:val="none" w:sz="0" w:space="0" w:color="auto"/>
      </w:divBdr>
    </w:div>
    <w:div w:id="1178734931">
      <w:bodyDiv w:val="1"/>
      <w:marLeft w:val="0"/>
      <w:marRight w:val="0"/>
      <w:marTop w:val="0"/>
      <w:marBottom w:val="0"/>
      <w:divBdr>
        <w:top w:val="none" w:sz="0" w:space="0" w:color="auto"/>
        <w:left w:val="none" w:sz="0" w:space="0" w:color="auto"/>
        <w:bottom w:val="none" w:sz="0" w:space="0" w:color="auto"/>
        <w:right w:val="none" w:sz="0" w:space="0" w:color="auto"/>
      </w:divBdr>
    </w:div>
    <w:div w:id="17791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anderslogistics.be/over-fl/overfl-thema1.php" TargetMode="External"/><Relationship Id="rId18" Type="http://schemas.openxmlformats.org/officeDocument/2006/relationships/hyperlink" Target="http://www.uptr.be/theme/medias/upload/1Pr%C3%A9l%C3%A8vement%20kilom%C3%A9trique%20-%20position%20UPT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regional_policy/sources/docoffic/official/reports/cohesion6/6cr_en.pdf" TargetMode="External"/><Relationship Id="rId17" Type="http://schemas.openxmlformats.org/officeDocument/2006/relationships/hyperlink" Target="http://www.oecd.org/futures/infrastructureto2030/4909444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laanderen.be/nl/publicaties/detail/advies-met-betrekking-tot-de-conceptnota-vlaams-strategisch-spoorbeleid" TargetMode="External"/><Relationship Id="rId20" Type="http://schemas.openxmlformats.org/officeDocument/2006/relationships/hyperlink" Target="http://www.uptr.be/theme/medias/upload/1Pr%C3%A9l%C3%A8vement%20kilom%C3%A9trique%20-%20position%20UPT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gional_policy/sources/docoffic/official/reports/cohesion6/6cr_en.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laanderen.be/nl/publicaties/detail/advies-met-betrekking-tot-de-conceptnota-vlaams-strategisch-spoorbeleid"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uptr.be/theme/medias/upload/1Pr%C3%A9l%C3%A8vement%20kilom%C3%A9trique%20-%20position%20UPT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frabel.be/sites/default/files/documents/brochure_corridors_nl.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F2A8-99E7-49D0-8821-751F22DA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13</Pages>
  <Words>6689</Words>
  <Characters>38132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Title of your paper</vt:lpstr>
    </vt:vector>
  </TitlesOfParts>
  <Company>Technische Universiteit Eindhoven</Company>
  <LinksUpToDate>false</LinksUpToDate>
  <CharactersWithSpaces>44732</CharactersWithSpaces>
  <SharedDoc>false</SharedDoc>
  <HLinks>
    <vt:vector size="12" baseType="variant">
      <vt:variant>
        <vt:i4>6619206</vt:i4>
      </vt:variant>
      <vt:variant>
        <vt:i4>3</vt:i4>
      </vt:variant>
      <vt:variant>
        <vt:i4>0</vt:i4>
      </vt:variant>
      <vt:variant>
        <vt:i4>5</vt:i4>
      </vt:variant>
      <vt:variant>
        <vt:lpwstr>mailto:bivec@uni.lu</vt:lpwstr>
      </vt:variant>
      <vt:variant>
        <vt:lpwstr/>
      </vt:variant>
      <vt:variant>
        <vt:i4>6619206</vt:i4>
      </vt:variant>
      <vt:variant>
        <vt:i4>0</vt:i4>
      </vt:variant>
      <vt:variant>
        <vt:i4>0</vt:i4>
      </vt:variant>
      <vt:variant>
        <vt:i4>5</vt:i4>
      </vt:variant>
      <vt:variant>
        <vt:lpwstr>mailto:bivec@uni.lu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paper</dc:title>
  <dc:subject/>
  <dc:creator>Dr Eric CORNELIS</dc:creator>
  <cp:keywords/>
  <dc:description/>
  <cp:lastModifiedBy>Troch Frank</cp:lastModifiedBy>
  <cp:revision>8</cp:revision>
  <cp:lastPrinted>2015-04-10T15:09:00Z</cp:lastPrinted>
  <dcterms:created xsi:type="dcterms:W3CDTF">2015-04-10T09:35:00Z</dcterms:created>
  <dcterms:modified xsi:type="dcterms:W3CDTF">2015-04-14T12:55:00Z</dcterms:modified>
</cp:coreProperties>
</file>