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ABE" w:rsidRPr="002A25C3" w:rsidRDefault="002D30EF" w:rsidP="001057DB">
      <w:pPr>
        <w:pStyle w:val="TITLEOFPAPER"/>
        <w:jc w:val="both"/>
        <w:rPr>
          <w:rFonts w:ascii="Times New Roman" w:hAnsi="Times New Roman" w:cs="Times New Roman"/>
          <w:caps w:val="0"/>
          <w:sz w:val="32"/>
          <w:szCs w:val="24"/>
        </w:rPr>
      </w:pPr>
      <w:r w:rsidRPr="002A25C3">
        <w:rPr>
          <w:rFonts w:ascii="Times New Roman" w:hAnsi="Times New Roman" w:cs="Times New Roman"/>
          <w:caps w:val="0"/>
          <w:sz w:val="32"/>
          <w:szCs w:val="24"/>
        </w:rPr>
        <w:t>Environmental impact assessment of rail freight intermodality</w:t>
      </w:r>
    </w:p>
    <w:p w:rsidR="009F13B4" w:rsidRDefault="00D70C7B" w:rsidP="001057DB">
      <w:pPr>
        <w:pStyle w:val="Authors"/>
        <w:rPr>
          <w:rFonts w:ascii="Times New Roman" w:hAnsi="Times New Roman" w:cs="Times New Roman"/>
          <w:sz w:val="24"/>
          <w:szCs w:val="24"/>
          <w:vertAlign w:val="superscript"/>
        </w:rPr>
      </w:pPr>
      <w:r w:rsidRPr="002A25C3">
        <w:rPr>
          <w:rFonts w:ascii="Times New Roman" w:hAnsi="Times New Roman" w:cs="Times New Roman"/>
          <w:sz w:val="24"/>
          <w:szCs w:val="24"/>
        </w:rPr>
        <w:t>Angel L. M</w:t>
      </w:r>
      <w:r w:rsidR="002F4248" w:rsidRPr="002A25C3">
        <w:rPr>
          <w:rFonts w:ascii="Times New Roman" w:hAnsi="Times New Roman" w:cs="Times New Roman"/>
          <w:sz w:val="24"/>
          <w:szCs w:val="24"/>
        </w:rPr>
        <w:t>ERCHAN</w:t>
      </w:r>
      <w:r w:rsidR="002A25C3" w:rsidRPr="002A25C3">
        <w:rPr>
          <w:rFonts w:ascii="Times New Roman" w:hAnsi="Times New Roman" w:cs="Times New Roman"/>
          <w:sz w:val="24"/>
          <w:szCs w:val="24"/>
          <w:vertAlign w:val="superscript"/>
        </w:rPr>
        <w:t>1</w:t>
      </w:r>
      <w:r w:rsidR="009F13B4" w:rsidRPr="002A25C3">
        <w:rPr>
          <w:rFonts w:ascii="Times New Roman" w:hAnsi="Times New Roman" w:cs="Times New Roman"/>
          <w:sz w:val="24"/>
          <w:szCs w:val="24"/>
        </w:rPr>
        <w:t xml:space="preserve">, </w:t>
      </w:r>
      <w:r w:rsidR="00973922">
        <w:rPr>
          <w:rFonts w:ascii="Times New Roman" w:hAnsi="Times New Roman" w:cs="Times New Roman"/>
          <w:sz w:val="24"/>
          <w:szCs w:val="24"/>
        </w:rPr>
        <w:t>Sandra BELBOOM</w:t>
      </w:r>
      <w:r w:rsidR="007B12B2">
        <w:rPr>
          <w:rFonts w:ascii="Times New Roman" w:hAnsi="Times New Roman" w:cs="Times New Roman"/>
          <w:sz w:val="24"/>
          <w:szCs w:val="24"/>
          <w:vertAlign w:val="superscript"/>
        </w:rPr>
        <w:t>1</w:t>
      </w:r>
      <w:r w:rsidR="00753B10">
        <w:rPr>
          <w:rFonts w:ascii="Times New Roman" w:hAnsi="Times New Roman" w:cs="Times New Roman"/>
          <w:sz w:val="24"/>
          <w:szCs w:val="24"/>
        </w:rPr>
        <w:t xml:space="preserve">, </w:t>
      </w:r>
      <w:r w:rsidR="002D30EF" w:rsidRPr="002A25C3">
        <w:rPr>
          <w:rFonts w:ascii="Times New Roman" w:hAnsi="Times New Roman" w:cs="Times New Roman"/>
          <w:sz w:val="24"/>
          <w:szCs w:val="24"/>
        </w:rPr>
        <w:t>A</w:t>
      </w:r>
      <w:r w:rsidR="002A25C3" w:rsidRPr="002A25C3">
        <w:rPr>
          <w:rFonts w:ascii="Times New Roman" w:hAnsi="Times New Roman" w:cs="Times New Roman"/>
          <w:sz w:val="24"/>
          <w:szCs w:val="24"/>
        </w:rPr>
        <w:t>ngé</w:t>
      </w:r>
      <w:r w:rsidR="002D30EF" w:rsidRPr="002A25C3">
        <w:rPr>
          <w:rFonts w:ascii="Times New Roman" w:hAnsi="Times New Roman" w:cs="Times New Roman"/>
          <w:sz w:val="24"/>
          <w:szCs w:val="24"/>
        </w:rPr>
        <w:t>lique LEONARD</w:t>
      </w:r>
      <w:r w:rsidR="002A25C3" w:rsidRPr="002A25C3">
        <w:rPr>
          <w:rFonts w:ascii="Times New Roman" w:hAnsi="Times New Roman" w:cs="Times New Roman"/>
          <w:sz w:val="24"/>
          <w:szCs w:val="24"/>
          <w:vertAlign w:val="superscript"/>
        </w:rPr>
        <w:t>1</w:t>
      </w:r>
    </w:p>
    <w:p w:rsidR="0068041C" w:rsidRDefault="002A25C3" w:rsidP="001057DB">
      <w:pPr>
        <w:pStyle w:val="Authors"/>
        <w:rPr>
          <w:rFonts w:ascii="Times New Roman" w:hAnsi="Times New Roman" w:cs="Times New Roman"/>
          <w:b w:val="0"/>
          <w:sz w:val="24"/>
          <w:szCs w:val="24"/>
        </w:rPr>
      </w:pPr>
      <w:r w:rsidRPr="0068041C">
        <w:rPr>
          <w:rFonts w:ascii="Times New Roman" w:hAnsi="Times New Roman" w:cs="Times New Roman"/>
          <w:b w:val="0"/>
          <w:sz w:val="24"/>
          <w:szCs w:val="24"/>
          <w:vertAlign w:val="superscript"/>
        </w:rPr>
        <w:t>1</w:t>
      </w:r>
      <w:r w:rsidR="008D0352">
        <w:rPr>
          <w:rFonts w:ascii="Times New Roman" w:hAnsi="Times New Roman" w:cs="Times New Roman"/>
          <w:b w:val="0"/>
          <w:sz w:val="24"/>
          <w:szCs w:val="24"/>
        </w:rPr>
        <w:t>Department of</w:t>
      </w:r>
      <w:r w:rsidR="00797894" w:rsidRPr="0068041C">
        <w:rPr>
          <w:rFonts w:ascii="Times New Roman" w:hAnsi="Times New Roman" w:cs="Times New Roman"/>
          <w:b w:val="0"/>
          <w:sz w:val="24"/>
          <w:szCs w:val="24"/>
        </w:rPr>
        <w:t xml:space="preserve"> Chemical Engineering</w:t>
      </w:r>
      <w:r w:rsidR="00893469" w:rsidRPr="0068041C">
        <w:rPr>
          <w:rFonts w:ascii="Times New Roman" w:hAnsi="Times New Roman" w:cs="Times New Roman"/>
          <w:b w:val="0"/>
          <w:sz w:val="24"/>
          <w:szCs w:val="24"/>
        </w:rPr>
        <w:t xml:space="preserve">, </w:t>
      </w:r>
      <w:r w:rsidR="008D0352">
        <w:rPr>
          <w:rFonts w:ascii="Times New Roman" w:hAnsi="Times New Roman" w:cs="Times New Roman"/>
          <w:b w:val="0"/>
          <w:sz w:val="24"/>
          <w:szCs w:val="24"/>
        </w:rPr>
        <w:t>Products, Environment, Processes (PEPs)</w:t>
      </w:r>
      <w:r w:rsidR="009E5882">
        <w:rPr>
          <w:rFonts w:ascii="Times New Roman" w:hAnsi="Times New Roman" w:cs="Times New Roman"/>
          <w:b w:val="0"/>
          <w:sz w:val="24"/>
          <w:szCs w:val="24"/>
        </w:rPr>
        <w:t>, University of Lie</w:t>
      </w:r>
      <w:r w:rsidR="00893469" w:rsidRPr="0068041C">
        <w:rPr>
          <w:rFonts w:ascii="Times New Roman" w:hAnsi="Times New Roman" w:cs="Times New Roman"/>
          <w:b w:val="0"/>
          <w:sz w:val="24"/>
          <w:szCs w:val="24"/>
        </w:rPr>
        <w:t>ge, Belgium</w:t>
      </w:r>
    </w:p>
    <w:p w:rsidR="00630ABE" w:rsidRDefault="00630ABE" w:rsidP="001057DB">
      <w:pPr>
        <w:pStyle w:val="Abstract-title"/>
        <w:rPr>
          <w:rFonts w:ascii="Times New Roman" w:hAnsi="Times New Roman" w:cs="Times New Roman"/>
          <w:sz w:val="24"/>
          <w:szCs w:val="24"/>
        </w:rPr>
      </w:pPr>
      <w:r w:rsidRPr="00973922">
        <w:rPr>
          <w:rFonts w:ascii="Times New Roman" w:hAnsi="Times New Roman" w:cs="Times New Roman"/>
          <w:sz w:val="24"/>
          <w:szCs w:val="24"/>
        </w:rPr>
        <w:t>Abstract</w:t>
      </w:r>
    </w:p>
    <w:p w:rsidR="00F006C6" w:rsidRPr="00F006C6" w:rsidRDefault="00F006C6" w:rsidP="001057DB">
      <w:pPr>
        <w:pStyle w:val="paragraph"/>
      </w:pPr>
    </w:p>
    <w:p w:rsidR="00AD5A3D" w:rsidRDefault="00AD5A3D" w:rsidP="00303033">
      <w:pPr>
        <w:pStyle w:val="paragraph"/>
        <w:ind w:firstLine="0"/>
        <w:rPr>
          <w:rFonts w:ascii="Times New Roman" w:hAnsi="Times New Roman" w:cs="Times New Roman"/>
          <w:bCs/>
          <w:sz w:val="24"/>
          <w:szCs w:val="24"/>
        </w:rPr>
      </w:pPr>
      <w:r>
        <w:rPr>
          <w:rFonts w:ascii="Times New Roman" w:hAnsi="Times New Roman" w:cs="Times New Roman"/>
          <w:bCs/>
          <w:sz w:val="24"/>
          <w:szCs w:val="24"/>
        </w:rPr>
        <w:t>The European Commission’s White Paper on transport</w:t>
      </w:r>
      <w:r w:rsidR="00697AF9">
        <w:rPr>
          <w:rFonts w:ascii="Times New Roman" w:hAnsi="Times New Roman" w:cs="Times New Roman"/>
          <w:bCs/>
          <w:sz w:val="24"/>
          <w:szCs w:val="24"/>
        </w:rPr>
        <w:t xml:space="preserve"> (European Commission, 2011)</w:t>
      </w:r>
      <w:r>
        <w:rPr>
          <w:rFonts w:ascii="Times New Roman" w:hAnsi="Times New Roman" w:cs="Times New Roman"/>
          <w:bCs/>
          <w:sz w:val="24"/>
          <w:szCs w:val="24"/>
        </w:rPr>
        <w:t xml:space="preserve"> </w:t>
      </w:r>
      <w:r w:rsidR="00F006C6">
        <w:rPr>
          <w:rFonts w:ascii="Times New Roman" w:hAnsi="Times New Roman" w:cs="Times New Roman"/>
          <w:bCs/>
          <w:sz w:val="24"/>
          <w:szCs w:val="24"/>
        </w:rPr>
        <w:t>seeks</w:t>
      </w:r>
      <w:r>
        <w:rPr>
          <w:rFonts w:ascii="Times New Roman" w:hAnsi="Times New Roman" w:cs="Times New Roman"/>
          <w:bCs/>
          <w:sz w:val="24"/>
          <w:szCs w:val="24"/>
        </w:rPr>
        <w:t xml:space="preserve"> to achieve an efficient and sustainable balance between the various transport modes</w:t>
      </w:r>
      <w:r w:rsidR="00F006C6">
        <w:rPr>
          <w:rFonts w:ascii="Times New Roman" w:hAnsi="Times New Roman" w:cs="Times New Roman"/>
          <w:bCs/>
          <w:sz w:val="24"/>
          <w:szCs w:val="24"/>
        </w:rPr>
        <w:t xml:space="preserve">. </w:t>
      </w:r>
      <w:r w:rsidR="00093423">
        <w:rPr>
          <w:rFonts w:ascii="Times New Roman" w:hAnsi="Times New Roman" w:cs="Times New Roman"/>
          <w:bCs/>
          <w:sz w:val="24"/>
          <w:szCs w:val="24"/>
        </w:rPr>
        <w:t>In this context, BRAIN-TRAIN</w:t>
      </w:r>
      <w:r w:rsidR="00D22D4B">
        <w:rPr>
          <w:rFonts w:ascii="Times New Roman" w:hAnsi="Times New Roman" w:cs="Times New Roman"/>
          <w:bCs/>
          <w:sz w:val="24"/>
          <w:szCs w:val="24"/>
        </w:rPr>
        <w:t>S</w:t>
      </w:r>
      <w:r w:rsidR="00093423">
        <w:rPr>
          <w:rFonts w:ascii="Times New Roman" w:hAnsi="Times New Roman" w:cs="Times New Roman"/>
          <w:bCs/>
          <w:sz w:val="24"/>
          <w:szCs w:val="24"/>
        </w:rPr>
        <w:t xml:space="preserve"> is a project supported by </w:t>
      </w:r>
      <w:r w:rsidR="00950606">
        <w:rPr>
          <w:rFonts w:ascii="Times New Roman" w:hAnsi="Times New Roman" w:cs="Times New Roman"/>
          <w:bCs/>
          <w:sz w:val="24"/>
          <w:szCs w:val="24"/>
        </w:rPr>
        <w:t xml:space="preserve">the </w:t>
      </w:r>
      <w:r w:rsidR="00093423">
        <w:rPr>
          <w:rFonts w:ascii="Times New Roman" w:hAnsi="Times New Roman" w:cs="Times New Roman"/>
          <w:bCs/>
          <w:sz w:val="24"/>
          <w:szCs w:val="24"/>
        </w:rPr>
        <w:t xml:space="preserve">Belgian Federal Government that deals with rail freight intermodality, approaching the problem from an interdisciplinary perspective. </w:t>
      </w:r>
      <w:r>
        <w:rPr>
          <w:rFonts w:ascii="Times New Roman" w:hAnsi="Times New Roman" w:cs="Times New Roman"/>
          <w:bCs/>
          <w:sz w:val="24"/>
          <w:szCs w:val="24"/>
        </w:rPr>
        <w:t>BRAIN-TRAINS will be able to answer the transition involved in transportation</w:t>
      </w:r>
      <w:r w:rsidR="0059366E">
        <w:rPr>
          <w:rFonts w:ascii="Times New Roman" w:hAnsi="Times New Roman" w:cs="Times New Roman"/>
          <w:bCs/>
          <w:sz w:val="24"/>
          <w:szCs w:val="24"/>
        </w:rPr>
        <w:t xml:space="preserve"> in Belgium</w:t>
      </w:r>
      <w:r>
        <w:rPr>
          <w:rFonts w:ascii="Times New Roman" w:hAnsi="Times New Roman" w:cs="Times New Roman"/>
          <w:bCs/>
          <w:sz w:val="24"/>
          <w:szCs w:val="24"/>
        </w:rPr>
        <w:t>.</w:t>
      </w:r>
    </w:p>
    <w:p w:rsidR="00F006C6" w:rsidRDefault="00F006C6" w:rsidP="001057DB">
      <w:pPr>
        <w:pStyle w:val="paragraph"/>
        <w:rPr>
          <w:rFonts w:ascii="Times New Roman" w:hAnsi="Times New Roman" w:cs="Times New Roman"/>
          <w:bCs/>
          <w:sz w:val="24"/>
          <w:szCs w:val="24"/>
        </w:rPr>
      </w:pPr>
    </w:p>
    <w:p w:rsidR="002A25C3" w:rsidRPr="009A2E70" w:rsidRDefault="002A25C3" w:rsidP="00303033">
      <w:pPr>
        <w:pStyle w:val="paragraph"/>
        <w:ind w:firstLine="0"/>
        <w:rPr>
          <w:rFonts w:ascii="Times New Roman" w:hAnsi="Times New Roman" w:cs="Times New Roman"/>
          <w:bCs/>
          <w:sz w:val="24"/>
          <w:szCs w:val="24"/>
        </w:rPr>
      </w:pPr>
      <w:r w:rsidRPr="009A2E70">
        <w:rPr>
          <w:rFonts w:ascii="Times New Roman" w:hAnsi="Times New Roman" w:cs="Times New Roman"/>
          <w:bCs/>
          <w:sz w:val="24"/>
          <w:szCs w:val="24"/>
        </w:rPr>
        <w:t>Environmental impact studies on intermodality</w:t>
      </w:r>
      <w:r w:rsidR="00560721">
        <w:rPr>
          <w:rFonts w:ascii="Times New Roman" w:hAnsi="Times New Roman" w:cs="Times New Roman"/>
          <w:bCs/>
          <w:sz w:val="24"/>
          <w:szCs w:val="24"/>
        </w:rPr>
        <w:t xml:space="preserve"> </w:t>
      </w:r>
      <w:r w:rsidRPr="009A2E70">
        <w:rPr>
          <w:rFonts w:ascii="Times New Roman" w:hAnsi="Times New Roman" w:cs="Times New Roman"/>
          <w:bCs/>
          <w:sz w:val="24"/>
          <w:szCs w:val="24"/>
        </w:rPr>
        <w:t>transport show that rail freight transport is the land-based transport that has a higher environmental performance (more fuel-efficient shipping alternative</w:t>
      </w:r>
      <w:r w:rsidR="00697AF9">
        <w:rPr>
          <w:rFonts w:ascii="Times New Roman" w:hAnsi="Times New Roman" w:cs="Times New Roman"/>
          <w:bCs/>
          <w:sz w:val="24"/>
          <w:szCs w:val="24"/>
        </w:rPr>
        <w:t xml:space="preserve"> </w:t>
      </w:r>
      <w:r w:rsidR="00697AF9">
        <w:rPr>
          <w:rFonts w:ascii="Times New Roman" w:hAnsi="Times New Roman" w:cs="Times New Roman"/>
        </w:rPr>
        <w:t>(</w:t>
      </w:r>
      <w:r w:rsidR="00697AF9" w:rsidRPr="00397A89">
        <w:rPr>
          <w:rFonts w:ascii="Times New Roman" w:hAnsi="Times New Roman" w:cs="Times New Roman"/>
        </w:rPr>
        <w:t>Hendrikson</w:t>
      </w:r>
      <w:r w:rsidR="00CE76D4">
        <w:rPr>
          <w:rFonts w:ascii="Times New Roman" w:hAnsi="Times New Roman" w:cs="Times New Roman"/>
        </w:rPr>
        <w:t xml:space="preserve"> et al.</w:t>
      </w:r>
      <w:r w:rsidR="00697AF9" w:rsidRPr="00397A89">
        <w:rPr>
          <w:rFonts w:ascii="Times New Roman" w:hAnsi="Times New Roman" w:cs="Times New Roman"/>
        </w:rPr>
        <w:t xml:space="preserve">, </w:t>
      </w:r>
      <w:r w:rsidR="00697AF9">
        <w:rPr>
          <w:rFonts w:ascii="Times New Roman" w:hAnsi="Times New Roman" w:cs="Times New Roman"/>
        </w:rPr>
        <w:t>2006</w:t>
      </w:r>
      <w:r w:rsidRPr="009A2E70">
        <w:rPr>
          <w:rFonts w:ascii="Times New Roman" w:hAnsi="Times New Roman" w:cs="Times New Roman"/>
          <w:bCs/>
          <w:sz w:val="24"/>
          <w:szCs w:val="24"/>
        </w:rPr>
        <w:t>)</w:t>
      </w:r>
      <w:r w:rsidR="00303033">
        <w:rPr>
          <w:rFonts w:ascii="Times New Roman" w:hAnsi="Times New Roman" w:cs="Times New Roman"/>
          <w:bCs/>
          <w:sz w:val="24"/>
          <w:szCs w:val="24"/>
        </w:rPr>
        <w:t>)</w:t>
      </w:r>
      <w:r w:rsidRPr="009A2E70">
        <w:rPr>
          <w:rFonts w:ascii="Times New Roman" w:hAnsi="Times New Roman" w:cs="Times New Roman"/>
          <w:bCs/>
          <w:sz w:val="24"/>
          <w:szCs w:val="24"/>
        </w:rPr>
        <w:t xml:space="preserve"> compared to intermodal road-rail and all-road transport</w:t>
      </w:r>
      <w:r w:rsidR="00697AF9">
        <w:rPr>
          <w:rFonts w:ascii="Times New Roman" w:hAnsi="Times New Roman" w:cs="Times New Roman"/>
          <w:bCs/>
          <w:sz w:val="24"/>
          <w:szCs w:val="24"/>
        </w:rPr>
        <w:t xml:space="preserve"> (Fries</w:t>
      </w:r>
      <w:r w:rsidR="006C178F">
        <w:rPr>
          <w:rFonts w:ascii="Times New Roman" w:hAnsi="Times New Roman" w:cs="Times New Roman"/>
          <w:bCs/>
          <w:sz w:val="24"/>
          <w:szCs w:val="24"/>
        </w:rPr>
        <w:t xml:space="preserve"> </w:t>
      </w:r>
      <w:r w:rsidR="00BC7940">
        <w:rPr>
          <w:rFonts w:ascii="Times New Roman" w:hAnsi="Times New Roman" w:cs="Times New Roman"/>
          <w:bCs/>
          <w:sz w:val="24"/>
          <w:szCs w:val="24"/>
        </w:rPr>
        <w:t>and</w:t>
      </w:r>
      <w:r w:rsidR="006C178F">
        <w:rPr>
          <w:rFonts w:ascii="Times New Roman" w:hAnsi="Times New Roman" w:cs="Times New Roman"/>
          <w:bCs/>
          <w:sz w:val="24"/>
          <w:szCs w:val="24"/>
        </w:rPr>
        <w:t xml:space="preserve"> </w:t>
      </w:r>
      <w:r w:rsidR="006C178F">
        <w:rPr>
          <w:rFonts w:ascii="Times New Roman" w:hAnsi="Times New Roman" w:cs="Times New Roman"/>
          <w:bCs/>
          <w:sz w:val="24"/>
        </w:rPr>
        <w:t>Hellweg</w:t>
      </w:r>
      <w:r w:rsidR="00697AF9">
        <w:rPr>
          <w:rFonts w:ascii="Times New Roman" w:hAnsi="Times New Roman" w:cs="Times New Roman"/>
          <w:bCs/>
          <w:sz w:val="24"/>
          <w:szCs w:val="24"/>
        </w:rPr>
        <w:t>, 2014</w:t>
      </w:r>
      <w:r w:rsidR="005C70A0">
        <w:rPr>
          <w:rFonts w:ascii="Times New Roman" w:hAnsi="Times New Roman" w:cs="Times New Roman"/>
          <w:bCs/>
          <w:sz w:val="24"/>
          <w:szCs w:val="24"/>
        </w:rPr>
        <w:t>; Facanha</w:t>
      </w:r>
      <w:r w:rsidR="00BC7940">
        <w:rPr>
          <w:rFonts w:ascii="Times New Roman" w:hAnsi="Times New Roman" w:cs="Times New Roman"/>
          <w:bCs/>
          <w:sz w:val="24"/>
          <w:szCs w:val="24"/>
        </w:rPr>
        <w:t xml:space="preserve"> and</w:t>
      </w:r>
      <w:r w:rsidR="00D93ADD">
        <w:rPr>
          <w:rFonts w:ascii="Times New Roman" w:hAnsi="Times New Roman" w:cs="Times New Roman"/>
          <w:bCs/>
          <w:sz w:val="24"/>
          <w:szCs w:val="24"/>
        </w:rPr>
        <w:t xml:space="preserve"> Horvath</w:t>
      </w:r>
      <w:r w:rsidR="005C70A0">
        <w:rPr>
          <w:rFonts w:ascii="Times New Roman" w:hAnsi="Times New Roman" w:cs="Times New Roman"/>
          <w:bCs/>
          <w:sz w:val="24"/>
          <w:szCs w:val="24"/>
        </w:rPr>
        <w:t>, 2006</w:t>
      </w:r>
      <w:r w:rsidR="00697AF9">
        <w:rPr>
          <w:rFonts w:ascii="Times New Roman" w:hAnsi="Times New Roman" w:cs="Times New Roman"/>
          <w:bCs/>
          <w:sz w:val="24"/>
          <w:szCs w:val="24"/>
        </w:rPr>
        <w:t>)</w:t>
      </w:r>
      <w:r w:rsidRPr="009A2E70">
        <w:rPr>
          <w:rFonts w:ascii="Times New Roman" w:hAnsi="Times New Roman" w:cs="Times New Roman"/>
          <w:bCs/>
          <w:sz w:val="24"/>
          <w:szCs w:val="24"/>
        </w:rPr>
        <w:t>. This is especially the case when electrified railway is used</w:t>
      </w:r>
      <w:r w:rsidR="00697AF9">
        <w:rPr>
          <w:rFonts w:ascii="Times New Roman" w:hAnsi="Times New Roman" w:cs="Times New Roman"/>
          <w:bCs/>
          <w:sz w:val="24"/>
          <w:szCs w:val="24"/>
        </w:rPr>
        <w:t xml:space="preserve"> </w:t>
      </w:r>
      <w:r w:rsidR="00BC7940">
        <w:rPr>
          <w:rFonts w:ascii="Times New Roman" w:hAnsi="Times New Roman" w:cs="Times New Roman"/>
          <w:sz w:val="24"/>
          <w:szCs w:val="24"/>
        </w:rPr>
        <w:t>(Spielmann and</w:t>
      </w:r>
      <w:r w:rsidR="00697AF9">
        <w:rPr>
          <w:rFonts w:ascii="Times New Roman" w:hAnsi="Times New Roman" w:cs="Times New Roman"/>
          <w:sz w:val="24"/>
          <w:szCs w:val="24"/>
        </w:rPr>
        <w:t xml:space="preserve"> Scholz, 2005)</w:t>
      </w:r>
      <w:r w:rsidRPr="009A2E70">
        <w:rPr>
          <w:rFonts w:ascii="Times New Roman" w:hAnsi="Times New Roman" w:cs="Times New Roman"/>
          <w:bCs/>
          <w:sz w:val="24"/>
          <w:szCs w:val="24"/>
        </w:rPr>
        <w:t>. But there is not always a direct rail link, so the intermodal road-rail transport is generally shown as the best alternative.</w:t>
      </w:r>
    </w:p>
    <w:p w:rsidR="002A25C3" w:rsidRPr="009A2E70" w:rsidRDefault="002A25C3" w:rsidP="001057DB">
      <w:pPr>
        <w:pStyle w:val="paragraph"/>
        <w:rPr>
          <w:rFonts w:ascii="Times New Roman" w:hAnsi="Times New Roman" w:cs="Times New Roman"/>
          <w:bCs/>
          <w:sz w:val="24"/>
          <w:szCs w:val="24"/>
        </w:rPr>
      </w:pPr>
    </w:p>
    <w:p w:rsidR="002A25C3" w:rsidRPr="009A2E70" w:rsidRDefault="002A25C3" w:rsidP="00303033">
      <w:pPr>
        <w:pStyle w:val="paragraph"/>
        <w:ind w:firstLine="0"/>
        <w:rPr>
          <w:rFonts w:ascii="Times New Roman" w:hAnsi="Times New Roman" w:cs="Times New Roman"/>
          <w:bCs/>
          <w:sz w:val="24"/>
          <w:szCs w:val="24"/>
        </w:rPr>
      </w:pPr>
      <w:r w:rsidRPr="009A2E70">
        <w:rPr>
          <w:rFonts w:ascii="Times New Roman" w:hAnsi="Times New Roman" w:cs="Times New Roman"/>
          <w:bCs/>
          <w:sz w:val="24"/>
          <w:szCs w:val="24"/>
        </w:rPr>
        <w:t>The increased demand for rail transportation raises the need for the expansion of the railroad system and the environmental effects that infrastructure construction entails should be taken into account</w:t>
      </w:r>
      <w:r w:rsidR="00FE5B4A">
        <w:rPr>
          <w:rFonts w:ascii="Times New Roman" w:hAnsi="Times New Roman" w:cs="Times New Roman"/>
          <w:bCs/>
          <w:sz w:val="24"/>
          <w:szCs w:val="24"/>
        </w:rPr>
        <w:t xml:space="preserve"> (Spielmann</w:t>
      </w:r>
      <w:r w:rsidR="00CE76D4">
        <w:rPr>
          <w:rFonts w:ascii="Times New Roman" w:hAnsi="Times New Roman" w:cs="Times New Roman"/>
          <w:bCs/>
          <w:sz w:val="24"/>
          <w:szCs w:val="24"/>
        </w:rPr>
        <w:t xml:space="preserve"> et al.</w:t>
      </w:r>
      <w:r w:rsidR="00FE5B4A">
        <w:rPr>
          <w:rFonts w:ascii="Times New Roman" w:hAnsi="Times New Roman" w:cs="Times New Roman"/>
          <w:bCs/>
          <w:sz w:val="24"/>
          <w:szCs w:val="24"/>
        </w:rPr>
        <w:t>, 2007)</w:t>
      </w:r>
      <w:r w:rsidRPr="009A2E70">
        <w:rPr>
          <w:rFonts w:ascii="Times New Roman" w:hAnsi="Times New Roman" w:cs="Times New Roman"/>
          <w:bCs/>
          <w:sz w:val="24"/>
          <w:szCs w:val="24"/>
        </w:rPr>
        <w:t xml:space="preserve">. </w:t>
      </w:r>
    </w:p>
    <w:p w:rsidR="002A25C3" w:rsidRPr="009A2E70" w:rsidRDefault="002A25C3" w:rsidP="001057DB">
      <w:pPr>
        <w:pStyle w:val="paragraph"/>
        <w:rPr>
          <w:rFonts w:ascii="Times New Roman" w:hAnsi="Times New Roman" w:cs="Times New Roman"/>
          <w:bCs/>
          <w:sz w:val="24"/>
          <w:szCs w:val="24"/>
        </w:rPr>
      </w:pPr>
    </w:p>
    <w:p w:rsidR="002A25C3" w:rsidRDefault="002A25C3" w:rsidP="00303033">
      <w:pPr>
        <w:pStyle w:val="paragraph"/>
        <w:ind w:firstLine="0"/>
        <w:rPr>
          <w:rFonts w:ascii="Times New Roman" w:hAnsi="Times New Roman" w:cs="Times New Roman"/>
          <w:bCs/>
          <w:sz w:val="24"/>
          <w:szCs w:val="24"/>
        </w:rPr>
      </w:pPr>
      <w:r w:rsidRPr="009A2E70">
        <w:rPr>
          <w:rFonts w:ascii="Times New Roman" w:hAnsi="Times New Roman" w:cs="Times New Roman"/>
          <w:bCs/>
          <w:sz w:val="24"/>
          <w:szCs w:val="24"/>
        </w:rPr>
        <w:t>Life Cycle Assessment (LCA) methodology allows us to model as best as possible the environmental impacts of several pollutants in numerous categories: CO, NOx, SOx, NMVOC, particles, and CO</w:t>
      </w:r>
      <w:r w:rsidRPr="009A2E70">
        <w:rPr>
          <w:rFonts w:ascii="Times New Roman" w:hAnsi="Times New Roman" w:cs="Times New Roman"/>
          <w:bCs/>
          <w:sz w:val="24"/>
          <w:szCs w:val="24"/>
          <w:vertAlign w:val="subscript"/>
        </w:rPr>
        <w:t>2</w:t>
      </w:r>
      <w:r w:rsidRPr="009A2E70">
        <w:rPr>
          <w:rFonts w:ascii="Times New Roman" w:hAnsi="Times New Roman" w:cs="Times New Roman"/>
          <w:bCs/>
          <w:sz w:val="24"/>
          <w:szCs w:val="24"/>
        </w:rPr>
        <w:t xml:space="preserve"> emissions.</w:t>
      </w:r>
      <w:r w:rsidR="00560721">
        <w:rPr>
          <w:rFonts w:ascii="Times New Roman" w:hAnsi="Times New Roman" w:cs="Times New Roman"/>
          <w:bCs/>
          <w:sz w:val="24"/>
          <w:szCs w:val="24"/>
        </w:rPr>
        <w:t xml:space="preserve"> </w:t>
      </w:r>
      <w:r w:rsidRPr="009A2E70">
        <w:rPr>
          <w:rFonts w:ascii="Times New Roman" w:hAnsi="Times New Roman" w:cs="Times New Roman"/>
          <w:bCs/>
          <w:sz w:val="24"/>
          <w:szCs w:val="24"/>
        </w:rPr>
        <w:t>For other categories such as accident damages, noise impact and land use, new developments have to be performed.</w:t>
      </w:r>
      <w:r w:rsidR="006D5855">
        <w:rPr>
          <w:rFonts w:ascii="Times New Roman" w:hAnsi="Times New Roman" w:cs="Times New Roman"/>
          <w:bCs/>
          <w:sz w:val="24"/>
          <w:szCs w:val="24"/>
        </w:rPr>
        <w:t xml:space="preserve"> For the </w:t>
      </w:r>
      <w:r w:rsidR="00F90457">
        <w:rPr>
          <w:rFonts w:ascii="Times New Roman" w:hAnsi="Times New Roman" w:cs="Times New Roman"/>
          <w:bCs/>
          <w:sz w:val="24"/>
          <w:szCs w:val="24"/>
        </w:rPr>
        <w:t xml:space="preserve">environmental impact </w:t>
      </w:r>
      <w:r w:rsidR="006D5855">
        <w:rPr>
          <w:rFonts w:ascii="Times New Roman" w:hAnsi="Times New Roman" w:cs="Times New Roman"/>
          <w:bCs/>
          <w:sz w:val="24"/>
          <w:szCs w:val="24"/>
        </w:rPr>
        <w:t>assessment of the Belgium rail freight intermodality, a</w:t>
      </w:r>
      <w:r w:rsidRPr="009A2E70">
        <w:rPr>
          <w:rFonts w:ascii="Times New Roman" w:hAnsi="Times New Roman" w:cs="Times New Roman"/>
          <w:bCs/>
          <w:sz w:val="24"/>
          <w:szCs w:val="24"/>
        </w:rPr>
        <w:t>ll life</w:t>
      </w:r>
      <w:r w:rsidR="006D067B">
        <w:rPr>
          <w:rFonts w:ascii="Times New Roman" w:hAnsi="Times New Roman" w:cs="Times New Roman"/>
          <w:bCs/>
          <w:sz w:val="24"/>
          <w:szCs w:val="24"/>
        </w:rPr>
        <w:t xml:space="preserve"> </w:t>
      </w:r>
      <w:r w:rsidRPr="009A2E70">
        <w:rPr>
          <w:rFonts w:ascii="Times New Roman" w:hAnsi="Times New Roman" w:cs="Times New Roman"/>
          <w:bCs/>
          <w:sz w:val="24"/>
          <w:szCs w:val="24"/>
        </w:rPr>
        <w:t>cycle phases of rail freight transport operation, rail infrastructure (construction, maintenance and disposal), and rail equipment (manufacturing, maintenance and disposal) are taken into account</w:t>
      </w:r>
      <w:r w:rsidR="00697AF9">
        <w:rPr>
          <w:rFonts w:ascii="Times New Roman" w:hAnsi="Times New Roman" w:cs="Times New Roman"/>
          <w:bCs/>
          <w:sz w:val="24"/>
          <w:szCs w:val="24"/>
        </w:rPr>
        <w:t xml:space="preserve"> (Spielmann</w:t>
      </w:r>
      <w:r w:rsidR="00480F7A">
        <w:rPr>
          <w:rFonts w:ascii="Times New Roman" w:hAnsi="Times New Roman" w:cs="Times New Roman"/>
          <w:bCs/>
          <w:sz w:val="24"/>
          <w:szCs w:val="24"/>
        </w:rPr>
        <w:t xml:space="preserve"> et al.</w:t>
      </w:r>
      <w:r w:rsidR="00697AF9">
        <w:rPr>
          <w:rFonts w:ascii="Times New Roman" w:hAnsi="Times New Roman" w:cs="Times New Roman"/>
          <w:bCs/>
          <w:sz w:val="24"/>
          <w:szCs w:val="24"/>
        </w:rPr>
        <w:t>, 2007)</w:t>
      </w:r>
      <w:r w:rsidRPr="009A2E70">
        <w:rPr>
          <w:rFonts w:ascii="Times New Roman" w:hAnsi="Times New Roman" w:cs="Times New Roman"/>
          <w:bCs/>
          <w:sz w:val="24"/>
          <w:szCs w:val="24"/>
        </w:rPr>
        <w:t xml:space="preserve">. </w:t>
      </w:r>
    </w:p>
    <w:p w:rsidR="00D71655" w:rsidRDefault="00D71655" w:rsidP="001057DB">
      <w:pPr>
        <w:pStyle w:val="paragraph"/>
        <w:rPr>
          <w:rFonts w:ascii="Times New Roman" w:hAnsi="Times New Roman" w:cs="Times New Roman"/>
          <w:bCs/>
          <w:sz w:val="24"/>
          <w:szCs w:val="24"/>
        </w:rPr>
      </w:pPr>
    </w:p>
    <w:p w:rsidR="00DD48CC" w:rsidRDefault="00DD48CC" w:rsidP="001057DB">
      <w:pPr>
        <w:pStyle w:val="paragraph"/>
        <w:ind w:firstLine="0"/>
        <w:rPr>
          <w:rFonts w:ascii="Times New Roman" w:hAnsi="Times New Roman" w:cs="Times New Roman"/>
          <w:b/>
          <w:bCs/>
          <w:sz w:val="24"/>
          <w:szCs w:val="24"/>
        </w:rPr>
      </w:pPr>
      <w:r>
        <w:rPr>
          <w:rFonts w:ascii="Times New Roman" w:hAnsi="Times New Roman" w:cs="Times New Roman"/>
          <w:b/>
          <w:bCs/>
          <w:sz w:val="24"/>
          <w:szCs w:val="24"/>
        </w:rPr>
        <w:t>Keywords</w:t>
      </w:r>
    </w:p>
    <w:p w:rsidR="00DD48CC" w:rsidRDefault="00DD48CC" w:rsidP="001057DB">
      <w:pPr>
        <w:pStyle w:val="paragraph"/>
        <w:ind w:firstLine="0"/>
        <w:rPr>
          <w:rFonts w:ascii="Times New Roman" w:hAnsi="Times New Roman" w:cs="Times New Roman"/>
          <w:b/>
          <w:bCs/>
          <w:sz w:val="24"/>
          <w:szCs w:val="24"/>
        </w:rPr>
      </w:pPr>
    </w:p>
    <w:p w:rsidR="00DD48CC" w:rsidRPr="00DD48CC" w:rsidRDefault="00AE5A44" w:rsidP="00303033">
      <w:pPr>
        <w:pStyle w:val="paragraph"/>
        <w:ind w:firstLine="0"/>
        <w:rPr>
          <w:rFonts w:ascii="Times New Roman" w:hAnsi="Times New Roman" w:cs="Times New Roman"/>
          <w:bCs/>
          <w:sz w:val="24"/>
          <w:szCs w:val="24"/>
        </w:rPr>
      </w:pPr>
      <w:r>
        <w:rPr>
          <w:rFonts w:ascii="Times New Roman" w:hAnsi="Times New Roman" w:cs="Times New Roman"/>
          <w:bCs/>
          <w:sz w:val="24"/>
          <w:szCs w:val="24"/>
        </w:rPr>
        <w:t>Environmental impact,</w:t>
      </w:r>
      <w:r w:rsidRPr="00DD48CC">
        <w:rPr>
          <w:rFonts w:ascii="Times New Roman" w:hAnsi="Times New Roman" w:cs="Times New Roman"/>
          <w:bCs/>
          <w:sz w:val="24"/>
          <w:szCs w:val="24"/>
        </w:rPr>
        <w:t xml:space="preserve"> </w:t>
      </w:r>
      <w:r>
        <w:rPr>
          <w:rFonts w:ascii="Times New Roman" w:hAnsi="Times New Roman" w:cs="Times New Roman"/>
          <w:bCs/>
          <w:sz w:val="24"/>
          <w:szCs w:val="24"/>
        </w:rPr>
        <w:t>r</w:t>
      </w:r>
      <w:r w:rsidR="00DD48CC" w:rsidRPr="00DD48CC">
        <w:rPr>
          <w:rFonts w:ascii="Times New Roman" w:hAnsi="Times New Roman" w:cs="Times New Roman"/>
          <w:bCs/>
          <w:sz w:val="24"/>
          <w:szCs w:val="24"/>
        </w:rPr>
        <w:t xml:space="preserve">ail freight, </w:t>
      </w:r>
      <w:r w:rsidR="00DD48CC">
        <w:rPr>
          <w:rFonts w:ascii="Times New Roman" w:hAnsi="Times New Roman" w:cs="Times New Roman"/>
          <w:bCs/>
          <w:sz w:val="24"/>
          <w:szCs w:val="24"/>
        </w:rPr>
        <w:t>intermodality transport</w:t>
      </w:r>
      <w:r>
        <w:rPr>
          <w:rFonts w:ascii="Times New Roman" w:hAnsi="Times New Roman" w:cs="Times New Roman"/>
          <w:bCs/>
          <w:sz w:val="24"/>
          <w:szCs w:val="24"/>
        </w:rPr>
        <w:t>.</w:t>
      </w:r>
    </w:p>
    <w:p w:rsidR="00DD48CC" w:rsidRDefault="00DD48CC" w:rsidP="001057DB">
      <w:pPr>
        <w:pStyle w:val="paragraph"/>
        <w:ind w:firstLine="0"/>
        <w:rPr>
          <w:rFonts w:ascii="Times New Roman" w:hAnsi="Times New Roman" w:cs="Times New Roman"/>
          <w:b/>
          <w:bCs/>
          <w:sz w:val="24"/>
          <w:szCs w:val="24"/>
        </w:rPr>
      </w:pPr>
    </w:p>
    <w:p w:rsidR="00FE5B4A" w:rsidRDefault="00FE5B4A" w:rsidP="001057DB">
      <w:pPr>
        <w:pStyle w:val="paragraph"/>
        <w:ind w:firstLine="0"/>
        <w:rPr>
          <w:rFonts w:ascii="Times New Roman" w:hAnsi="Times New Roman" w:cs="Times New Roman"/>
          <w:b/>
          <w:bCs/>
          <w:sz w:val="24"/>
          <w:szCs w:val="24"/>
        </w:rPr>
      </w:pPr>
    </w:p>
    <w:p w:rsidR="00FE5B4A" w:rsidRDefault="00FE5B4A" w:rsidP="001057DB">
      <w:pPr>
        <w:pStyle w:val="paragraph"/>
        <w:ind w:firstLine="0"/>
        <w:rPr>
          <w:rFonts w:ascii="Times New Roman" w:hAnsi="Times New Roman" w:cs="Times New Roman"/>
          <w:b/>
          <w:bCs/>
          <w:sz w:val="24"/>
          <w:szCs w:val="24"/>
        </w:rPr>
      </w:pPr>
    </w:p>
    <w:p w:rsidR="00261DC3" w:rsidRDefault="00261DC3" w:rsidP="001057DB">
      <w:pPr>
        <w:spacing w:after="200"/>
        <w:jc w:val="left"/>
        <w:rPr>
          <w:rFonts w:ascii="Times New Roman" w:hAnsi="Times New Roman" w:cs="Times New Roman"/>
          <w:b/>
          <w:sz w:val="24"/>
          <w:szCs w:val="24"/>
        </w:rPr>
      </w:pPr>
      <w:r w:rsidRPr="00261DC3">
        <w:rPr>
          <w:rFonts w:ascii="Times New Roman" w:hAnsi="Times New Roman" w:cs="Times New Roman"/>
          <w:b/>
          <w:sz w:val="24"/>
          <w:szCs w:val="24"/>
        </w:rPr>
        <w:lastRenderedPageBreak/>
        <w:t xml:space="preserve">1 </w:t>
      </w:r>
      <w:r w:rsidRPr="00F65800">
        <w:rPr>
          <w:rFonts w:ascii="Times New Roman" w:hAnsi="Times New Roman" w:cs="Times New Roman"/>
          <w:b/>
          <w:sz w:val="24"/>
          <w:szCs w:val="24"/>
          <w:u w:val="single"/>
        </w:rPr>
        <w:t>Introduction</w:t>
      </w:r>
    </w:p>
    <w:p w:rsidR="0034312E" w:rsidRPr="0034312E" w:rsidRDefault="004B0949" w:rsidP="0034312E">
      <w:pPr>
        <w:spacing w:after="200"/>
        <w:rPr>
          <w:rFonts w:ascii="Times New Roman" w:hAnsi="Times New Roman" w:cs="Times New Roman"/>
          <w:sz w:val="24"/>
          <w:szCs w:val="24"/>
        </w:rPr>
      </w:pPr>
      <w:r w:rsidRPr="00AC60DA">
        <w:rPr>
          <w:rFonts w:ascii="Times New Roman" w:hAnsi="Times New Roman" w:cs="Times New Roman"/>
          <w:sz w:val="24"/>
          <w:szCs w:val="24"/>
        </w:rPr>
        <w:t xml:space="preserve">The </w:t>
      </w:r>
      <w:r w:rsidR="0034312E" w:rsidRPr="0034312E">
        <w:rPr>
          <w:rFonts w:ascii="Times New Roman" w:hAnsi="Times New Roman" w:cs="Times New Roman"/>
          <w:sz w:val="24"/>
          <w:szCs w:val="24"/>
        </w:rPr>
        <w:t xml:space="preserve">European Commission’s White Paper on transport enumerates 10 strategic goals that aim to increase the rail market share. The goal 3 states: “30% of road freight over 300 km should shift to other modes such as rail or waterborne transport by 2030, and more than 50% by 2050, facilitated by efficient and green freight corridors” (European Commission, 2011). </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The modal shift from road transport to rail freight intermodality promoted by the European Union’s transportation policy aims at reducing the environmental impact of freight transport, both by reducing pollution and improving road safety (Crozet et al., 2014). It can also contribute to transport energy efficiency and cost-effectiveness by higher carrying capacities (Lammgård, 2012).</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Although rail freight share in Belgium has grown since 2009 (EUROSTAT, 2015), the road transport is still the dominant mode. Looking at the last available statistical data on freight transport in EUROSTAT, the modal split of freight transport (percentage in total inland freight expressed in tonne-kilometres) in 2012 to Belgium are a modal share for rail freight of 17.5%, 24.3% of inland waterways and 58.3% of road transport (EUROSTAT, 2015).</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The rail freight transport in Belgium does not have a prominent position compared to other European countries (Van de Voorde and Vanelslander, 2014), despite the fact that Belgium meets the conditions for improving the development of the rail freight transport, such as presenting a high density of rail network (117 km of rail line per 1000 km² in 2012) and having the second freight traffic European Union seaport (Port of Antwerp) with 164,546 million of tonnes in 2012 (EUROSTAT, 2015).</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A major opportunity of the rail freight transport is to replace road transport in journeys longer than 300 km (European Commission, 2011), but despite the fact that rail transport is more energy efficient (more fuel-efficient shipping alternative (Hendrikson et al., 2006)), road transport is more flexible, causing its dominant use (Demir et al., 2015). There is not always a direct rail link, so the intermodal road-rail transport is generally shown as the best alternative.</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 xml:space="preserve">The rail could also complete the offer of the air and sea freight transport. However, two obstacles need to be addressed: on one hand, trains need to be more performant (longer, higher speeds and larger axle loads), and on the other hand, congestion bottlenecks due to the use of the same track for passenger and freight trains have to be eliminated. In order to overcome the technical problems derived from these two challenges, an investment is required (European Parliament, 2010). </w:t>
      </w:r>
    </w:p>
    <w:p w:rsid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In Belgium, the transport sector is the main source of greenhouse gas emissions. Including emissions from international transport (see figure 1), the transport sector constitutes 34.64% of total emissions. Almost half of the transportation emissions are caused by road transport (49.69%), assuming only 0.21% rail transport.</w:t>
      </w:r>
    </w:p>
    <w:p w:rsidR="0034312E" w:rsidRDefault="0034312E" w:rsidP="0034312E">
      <w:pPr>
        <w:spacing w:after="200"/>
        <w:rPr>
          <w:rFonts w:ascii="Times New Roman" w:hAnsi="Times New Roman" w:cs="Times New Roman"/>
          <w:sz w:val="24"/>
          <w:szCs w:val="24"/>
        </w:rPr>
      </w:pPr>
    </w:p>
    <w:p w:rsidR="00C050BE" w:rsidRDefault="00C050BE" w:rsidP="00C050BE">
      <w:pPr>
        <w:keepNext/>
        <w:spacing w:after="200"/>
      </w:pPr>
      <w:r>
        <w:rPr>
          <w:rFonts w:ascii="Times New Roman" w:hAnsi="Times New Roman" w:cs="Times New Roman"/>
          <w:b/>
          <w:noProof/>
          <w:color w:val="FF0000"/>
          <w:sz w:val="24"/>
          <w:szCs w:val="24"/>
          <w:lang w:val="fr-FR"/>
        </w:rPr>
        <w:lastRenderedPageBreak/>
        <w:drawing>
          <wp:inline distT="0" distB="0" distL="0" distR="0" wp14:anchorId="375046E6" wp14:editId="1DBCB61B">
            <wp:extent cx="5760085" cy="2544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HG Emissions by sector Beldium 2012. Including international bunkers emissions.png"/>
                    <pic:cNvPicPr/>
                  </pic:nvPicPr>
                  <pic:blipFill>
                    <a:blip r:embed="rId8">
                      <a:extLst>
                        <a:ext uri="{28A0092B-C50C-407E-A947-70E740481C1C}">
                          <a14:useLocalDpi xmlns:a14="http://schemas.microsoft.com/office/drawing/2010/main" val="0"/>
                        </a:ext>
                      </a:extLst>
                    </a:blip>
                    <a:stretch>
                      <a:fillRect/>
                    </a:stretch>
                  </pic:blipFill>
                  <pic:spPr>
                    <a:xfrm>
                      <a:off x="0" y="0"/>
                      <a:ext cx="5760085" cy="2544445"/>
                    </a:xfrm>
                    <a:prstGeom prst="rect">
                      <a:avLst/>
                    </a:prstGeom>
                  </pic:spPr>
                </pic:pic>
              </a:graphicData>
            </a:graphic>
          </wp:inline>
        </w:drawing>
      </w:r>
    </w:p>
    <w:p w:rsidR="00C050BE" w:rsidRPr="00C050BE" w:rsidRDefault="00C050BE" w:rsidP="00C050BE">
      <w:pPr>
        <w:pStyle w:val="Caption"/>
        <w:jc w:val="both"/>
        <w:rPr>
          <w:lang w:val="en-GB"/>
        </w:rPr>
      </w:pPr>
      <w:r w:rsidRPr="00C050BE">
        <w:rPr>
          <w:lang w:val="en-GB"/>
        </w:rPr>
        <w:t xml:space="preserve">Figure </w:t>
      </w:r>
      <w:r>
        <w:fldChar w:fldCharType="begin"/>
      </w:r>
      <w:r w:rsidRPr="00C050BE">
        <w:rPr>
          <w:lang w:val="en-GB"/>
        </w:rPr>
        <w:instrText xml:space="preserve"> SEQ Figure \* ARABIC </w:instrText>
      </w:r>
      <w:r>
        <w:fldChar w:fldCharType="separate"/>
      </w:r>
      <w:r w:rsidR="0034312E">
        <w:rPr>
          <w:noProof/>
          <w:lang w:val="en-GB"/>
        </w:rPr>
        <w:t>1</w:t>
      </w:r>
      <w:r>
        <w:fldChar w:fldCharType="end"/>
      </w:r>
      <w:r w:rsidRPr="00C050BE">
        <w:rPr>
          <w:lang w:val="en-GB"/>
        </w:rPr>
        <w:t>. Greenhouse gas emissions (CO</w:t>
      </w:r>
      <w:r w:rsidRPr="0034312E">
        <w:rPr>
          <w:vertAlign w:val="subscript"/>
          <w:lang w:val="en-GB"/>
        </w:rPr>
        <w:t>2</w:t>
      </w:r>
      <w:r w:rsidRPr="00C050BE">
        <w:rPr>
          <w:lang w:val="en-GB"/>
        </w:rPr>
        <w:t>, CH</w:t>
      </w:r>
      <w:r w:rsidRPr="0034312E">
        <w:rPr>
          <w:vertAlign w:val="subscript"/>
          <w:lang w:val="en-GB"/>
        </w:rPr>
        <w:t>4</w:t>
      </w:r>
      <w:r w:rsidRPr="00C050BE">
        <w:rPr>
          <w:lang w:val="en-GB"/>
        </w:rPr>
        <w:t>, N2O, SF</w:t>
      </w:r>
      <w:r w:rsidRPr="0034312E">
        <w:rPr>
          <w:vertAlign w:val="subscript"/>
          <w:lang w:val="en-GB"/>
        </w:rPr>
        <w:t>6</w:t>
      </w:r>
      <w:r w:rsidRPr="00C050BE">
        <w:rPr>
          <w:lang w:val="en-GB"/>
        </w:rPr>
        <w:t>, HFC and PFC) by sector and mode of transport in Belgium in 2012, including international bunkers emissions but excluding LULUCF (Land Use, Land-Use Change and Forestry) emissions. Source: Own elaboration based on EUROSTAT data (European Commission, 2014)</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bCs/>
          <w:iCs/>
          <w:sz w:val="24"/>
          <w:szCs w:val="24"/>
        </w:rPr>
        <w:t>BRAIN-TRAINS</w:t>
      </w:r>
      <w:r w:rsidRPr="0034312E">
        <w:rPr>
          <w:rFonts w:ascii="Times New Roman" w:hAnsi="Times New Roman" w:cs="Times New Roman"/>
          <w:bCs/>
          <w:i/>
          <w:iCs/>
          <w:sz w:val="24"/>
          <w:szCs w:val="24"/>
        </w:rPr>
        <w:t xml:space="preserve"> </w:t>
      </w:r>
      <w:r w:rsidRPr="0034312E">
        <w:rPr>
          <w:rFonts w:ascii="Times New Roman" w:hAnsi="Times New Roman" w:cs="Times New Roman"/>
          <w:bCs/>
          <w:iCs/>
          <w:sz w:val="24"/>
          <w:szCs w:val="24"/>
        </w:rPr>
        <w:t xml:space="preserve">is a project supported by the Belgian Federal Government that deals with rail freight intermodality, approaching the problem from an interdisciplinary perspective. </w:t>
      </w:r>
      <w:r w:rsidRPr="0034312E">
        <w:rPr>
          <w:rFonts w:ascii="Times New Roman" w:hAnsi="Times New Roman" w:cs="Times New Roman"/>
          <w:sz w:val="24"/>
          <w:szCs w:val="24"/>
        </w:rPr>
        <w:t>The purpose of this paper is to explain how the project BRAIN-TRAINS aims at determining the environmental impact of the rail freight intermodality for several Belgian scenarios using the Life Cycle Assessment (LCA) methodology. This requires namely to have Belgian specific data that are missing nowadays.</w:t>
      </w:r>
    </w:p>
    <w:p w:rsidR="00261DC3" w:rsidRPr="00567F01" w:rsidRDefault="00261DC3" w:rsidP="001057DB">
      <w:pPr>
        <w:spacing w:after="200"/>
        <w:jc w:val="left"/>
        <w:rPr>
          <w:rFonts w:ascii="Times New Roman" w:hAnsi="Times New Roman" w:cs="Times New Roman"/>
          <w:b/>
          <w:sz w:val="24"/>
          <w:szCs w:val="24"/>
        </w:rPr>
      </w:pPr>
      <w:r w:rsidRPr="00567F01">
        <w:rPr>
          <w:rFonts w:ascii="Times New Roman" w:hAnsi="Times New Roman" w:cs="Times New Roman"/>
          <w:b/>
          <w:sz w:val="24"/>
          <w:szCs w:val="24"/>
        </w:rPr>
        <w:t xml:space="preserve">2 </w:t>
      </w:r>
      <w:r w:rsidRPr="00F65800">
        <w:rPr>
          <w:rFonts w:ascii="Times New Roman" w:hAnsi="Times New Roman" w:cs="Times New Roman"/>
          <w:b/>
          <w:sz w:val="24"/>
          <w:szCs w:val="24"/>
          <w:u w:val="single"/>
        </w:rPr>
        <w:t>Methodology</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To analyse the sustainability impact of rail freight intermodality in Belgium, the Life Cycle Assessment (LCA) methodology will be used. LCA methodology is standardised by ISO Standards 14040 and 14044 (International Standardization Organization, 2006), being also used in Europe the ILCD Handbook (European Commission, 2010 and European Commission, 2011) as a reference to perform an LCA.</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The LCA methodology allows us to study complex systems like intermodal transport providing a system perspective analysis that allows to assess environmental impacts through all the stages of rail freight system (rail operation, rail equipment and rail infrastructure), from raw material extraction, through material’s use to disposal. The continuous development and improvement of this methodology allows it to be up-to-date and to be a reference to model in a quantitative and multi-criteria way the environmental impacts of several pollutants in numerous categories of the railway freight intermodality.</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 xml:space="preserve">Commercial databases </w:t>
      </w:r>
      <w:r w:rsidRPr="0034312E">
        <w:rPr>
          <w:rFonts w:ascii="Times New Roman" w:hAnsi="Times New Roman" w:cs="Times New Roman"/>
          <w:bCs/>
          <w:sz w:val="24"/>
          <w:szCs w:val="24"/>
          <w:lang w:val="en-US"/>
        </w:rPr>
        <w:t>as Ecoinvent (Weidema et al., 2013)</w:t>
      </w:r>
      <w:r w:rsidRPr="0034312E">
        <w:rPr>
          <w:rFonts w:ascii="Times New Roman" w:hAnsi="Times New Roman" w:cs="Times New Roman"/>
          <w:sz w:val="24"/>
          <w:szCs w:val="24"/>
        </w:rPr>
        <w:t xml:space="preserve"> have been developed to allow an easier access to the inventory of numerous processes (e.g. transportation of one ton over one km by lorry). The existing databases allow us to perform a preliminary search to guide us in identifying the most influential factors in the environmental impact of freight transport (Spielmann and Scholz, 2005). Once these are identified, we may collect the most significant </w:t>
      </w:r>
      <w:r w:rsidRPr="0034312E">
        <w:rPr>
          <w:rFonts w:ascii="Times New Roman" w:hAnsi="Times New Roman" w:cs="Times New Roman"/>
          <w:sz w:val="24"/>
          <w:szCs w:val="24"/>
        </w:rPr>
        <w:lastRenderedPageBreak/>
        <w:t>data, and develop a new database of rail freight transport in Belgium. After collecting the data, we will make a comparison of our results with the already existing and this will give us clues about how to improve the environmental performance of the rail freight transport.</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Even if generic commercial databases are available, there are no Belgian specific commercial transportation databases and current databases should be improved and updated. One of the aims of the study is to develop a transportation database specific to Belgium to allow a better modelling of the obtained environmental impacts and to improve the specificity of the results. We will take as a model the Swiss transport database included in Ecoinvent database, which is the most comprehensive transport database available. One thing to take into consideration is that the rail freight transport in Switzerland is mainly done with electric traction which is not the case in Belgium where a combination with diesel traction appears (Spielmann et al., 2007).</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The UNEP/SETAC Life Cycle Initiative “</w:t>
      </w:r>
      <w:r w:rsidRPr="0034312E">
        <w:rPr>
          <w:rFonts w:ascii="Times New Roman" w:hAnsi="Times New Roman" w:cs="Times New Roman"/>
          <w:i/>
          <w:sz w:val="24"/>
          <w:szCs w:val="24"/>
        </w:rPr>
        <w:t>Global Guidance Principles for Life Cycle Assessment Databases</w:t>
      </w:r>
      <w:r w:rsidRPr="0034312E">
        <w:rPr>
          <w:rFonts w:ascii="Times New Roman" w:hAnsi="Times New Roman" w:cs="Times New Roman"/>
          <w:sz w:val="24"/>
          <w:szCs w:val="24"/>
        </w:rPr>
        <w:t>” (UNEP/SETAC, 2011) and the general guidance and data collection sheets in ISO 14040 and ISO 14044 (International Standardization Organization, 2006) provide guidance to develop a new unit process dataset and they explain how to document the procedures in a structured way. The existing literature will be also taken into account, as well as the valid Product Category Rules (PCR) for railways (The International EPD® System, 2014) and the available Environmental Product Declarations (EPD).</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 xml:space="preserve">Currently, there is no publication relative to the state-of-the-art for Belgian freight transportation and technical data (machine type, tracks, capacity, energy supply, etc.), having a lack of data for the assessment of transportation impacts and concerning building infrastructure. For data collection, more reliable sources of information will be identified and we will proceed to the drafting of questionnaires for the collection of information through interviews with different stakeholders (transport sector members, vehicle manufacturers, freight operators and project partners). </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LCA studies demonstrate the importance of all life-cycle phases (infrastructure and vehicle life cycle) and not only the modelling of fuel combustion for the assessment of transport. The pre-combustion processes will become even more important than direct emission due to the introduction of new engines and emission reduction technologies (Facanha</w:t>
      </w:r>
      <w:r w:rsidRPr="0034312E">
        <w:rPr>
          <w:rFonts w:ascii="Times New Roman" w:hAnsi="Times New Roman" w:cs="Times New Roman"/>
          <w:bCs/>
          <w:sz w:val="24"/>
          <w:szCs w:val="24"/>
        </w:rPr>
        <w:t xml:space="preserve"> and Horvath</w:t>
      </w:r>
      <w:r w:rsidRPr="0034312E">
        <w:rPr>
          <w:rFonts w:ascii="Times New Roman" w:hAnsi="Times New Roman" w:cs="Times New Roman"/>
          <w:sz w:val="24"/>
          <w:szCs w:val="24"/>
        </w:rPr>
        <w:t>, 2006; Spielmann and Scholz, 2005).</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The European TEN-T program (Trans-European Transport Network) plans to develop three corridors in Belgium, which could cause an increase in the demand for rail transportation and an expansion of the railroad network (European Commission, 2014b). The expansion of the railroad system and the environmental effects that infrastructure construction entails should be taken into account (Spielmann et al., 2007).</w:t>
      </w:r>
    </w:p>
    <w:p w:rsidR="001057DB"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The rail freight system is divided in this study in direct processes (rail operation) and indirect processes (rail equipment and rail infrastructure). As shown in figure 2, all life cycle phases of rail freight transport operation, rail infrastructure (construction, maintenance and disposal), and rail equipment (manufacturing, maintenance and disposal) are taken into account (Spielmann et al., 2007).</w:t>
      </w:r>
    </w:p>
    <w:p w:rsidR="0034312E" w:rsidRDefault="0034312E" w:rsidP="0034312E">
      <w:pPr>
        <w:keepNext/>
        <w:spacing w:after="200"/>
      </w:pPr>
      <w:bookmarkStart w:id="0" w:name="_GoBack"/>
      <w:r>
        <w:rPr>
          <w:rFonts w:ascii="Times New Roman" w:hAnsi="Times New Roman" w:cs="Times New Roman"/>
          <w:noProof/>
          <w:sz w:val="24"/>
          <w:szCs w:val="24"/>
          <w:lang w:val="fr-FR"/>
        </w:rPr>
        <w:lastRenderedPageBreak/>
        <w:drawing>
          <wp:inline distT="0" distB="0" distL="0" distR="0" wp14:anchorId="6BD38783" wp14:editId="2D0296B1">
            <wp:extent cx="5760085" cy="4234180"/>
            <wp:effectExtent l="19050" t="1905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02.jpg"/>
                    <pic:cNvPicPr/>
                  </pic:nvPicPr>
                  <pic:blipFill>
                    <a:blip r:embed="rId9">
                      <a:extLst>
                        <a:ext uri="{28A0092B-C50C-407E-A947-70E740481C1C}">
                          <a14:useLocalDpi xmlns:a14="http://schemas.microsoft.com/office/drawing/2010/main" val="0"/>
                        </a:ext>
                      </a:extLst>
                    </a:blip>
                    <a:stretch>
                      <a:fillRect/>
                    </a:stretch>
                  </pic:blipFill>
                  <pic:spPr>
                    <a:xfrm>
                      <a:off x="0" y="0"/>
                      <a:ext cx="5760085" cy="4234180"/>
                    </a:xfrm>
                    <a:prstGeom prst="rect">
                      <a:avLst/>
                    </a:prstGeom>
                    <a:ln>
                      <a:solidFill>
                        <a:schemeClr val="tx1"/>
                      </a:solidFill>
                    </a:ln>
                  </pic:spPr>
                </pic:pic>
              </a:graphicData>
            </a:graphic>
          </wp:inline>
        </w:drawing>
      </w:r>
      <w:bookmarkEnd w:id="0"/>
    </w:p>
    <w:p w:rsidR="0034312E" w:rsidRPr="0034312E" w:rsidRDefault="0034312E" w:rsidP="0034312E">
      <w:pPr>
        <w:pStyle w:val="Caption"/>
        <w:jc w:val="both"/>
        <w:rPr>
          <w:rFonts w:ascii="Times New Roman" w:hAnsi="Times New Roman" w:cs="Times New Roman"/>
          <w:sz w:val="24"/>
          <w:szCs w:val="24"/>
          <w:lang w:val="en-GB"/>
        </w:rPr>
      </w:pPr>
      <w:r w:rsidRPr="0034312E">
        <w:rPr>
          <w:lang w:val="en-GB"/>
        </w:rPr>
        <w:t xml:space="preserve">Figure </w:t>
      </w:r>
      <w:r>
        <w:fldChar w:fldCharType="begin"/>
      </w:r>
      <w:r w:rsidRPr="0034312E">
        <w:rPr>
          <w:lang w:val="en-GB"/>
        </w:rPr>
        <w:instrText xml:space="preserve"> SEQ Figure \* ARABIC </w:instrText>
      </w:r>
      <w:r>
        <w:fldChar w:fldCharType="separate"/>
      </w:r>
      <w:r w:rsidRPr="0034312E">
        <w:rPr>
          <w:noProof/>
          <w:lang w:val="en-GB"/>
        </w:rPr>
        <w:t>2</w:t>
      </w:r>
      <w:r>
        <w:fldChar w:fldCharType="end"/>
      </w:r>
      <w:r w:rsidRPr="0034312E">
        <w:rPr>
          <w:lang w:val="en-GB"/>
        </w:rPr>
        <w:t>. System boundary of the study. Source: Own elaboration based on Spielmann et al., 2007; The SMARTrail Consortium, 2014 and Stripple and Uppenberg, 2010</w:t>
      </w:r>
    </w:p>
    <w:p w:rsidR="001057DB" w:rsidRPr="00F65800" w:rsidRDefault="00C2056C" w:rsidP="001057DB">
      <w:pPr>
        <w:spacing w:after="200"/>
        <w:jc w:val="left"/>
        <w:rPr>
          <w:rFonts w:ascii="Times New Roman" w:hAnsi="Times New Roman" w:cs="Times New Roman"/>
          <w:b/>
          <w:sz w:val="24"/>
          <w:szCs w:val="24"/>
        </w:rPr>
      </w:pPr>
      <w:r w:rsidRPr="00F65800">
        <w:rPr>
          <w:rFonts w:ascii="Times New Roman" w:hAnsi="Times New Roman" w:cs="Times New Roman"/>
          <w:b/>
          <w:sz w:val="24"/>
          <w:szCs w:val="24"/>
        </w:rPr>
        <w:t>2.1 Life Cycle Inventory for rail operation</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Rail operation stage are the processes that are directly connected with the operation of trains including the energy consumption per train (share of diesel and electricity traction) and the direct emissions to air from diesel combustion (CO</w:t>
      </w:r>
      <w:r w:rsidRPr="0034312E">
        <w:rPr>
          <w:rFonts w:ascii="Times New Roman" w:hAnsi="Times New Roman" w:cs="Times New Roman"/>
          <w:sz w:val="24"/>
          <w:szCs w:val="24"/>
          <w:vertAlign w:val="subscript"/>
        </w:rPr>
        <w:t xml:space="preserve">2, </w:t>
      </w:r>
      <w:r w:rsidRPr="0034312E">
        <w:rPr>
          <w:rFonts w:ascii="Times New Roman" w:hAnsi="Times New Roman" w:cs="Times New Roman"/>
          <w:sz w:val="24"/>
          <w:szCs w:val="24"/>
        </w:rPr>
        <w:t xml:space="preserve">CO, NOx, SOx, NMVOC and particles emissions) or from electricity consumption (SF6 emitted during conversion at traction substations) and direct emission to soil of iron due to abrasion from braking (rail tracks, wheels and brakes) and lining (overhead contact line) (Spielmann et al., 2007). </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There are 13 rail freight operators and traction companies in Belgium, which could lead to some difficulties to obtain consolidated data regarding rail operation and equipment. In 2012, SNCB Logistics (the public company of freight transport) market share was 86.62% of tkm (Van de Voorde and Vanelslander, 2014), which should facilitate the collection of representative data.</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 xml:space="preserve">Rail freight transport consumes much energy, being the source of this energy one of the key factors for rail sustainable transport (Reis et al., 2013). Rail transport is gradually changing the use of diesel engines for electricity power (EEA, 2008). Moreover, using electrical energy </w:t>
      </w:r>
      <w:r w:rsidRPr="0034312E">
        <w:rPr>
          <w:rFonts w:ascii="Times New Roman" w:hAnsi="Times New Roman" w:cs="Times New Roman"/>
          <w:sz w:val="24"/>
          <w:szCs w:val="24"/>
        </w:rPr>
        <w:lastRenderedPageBreak/>
        <w:t>coming from renewable sources would be one of the main opportunities for improvement (McKin</w:t>
      </w:r>
      <w:r w:rsidRPr="0034312E">
        <w:rPr>
          <w:rFonts w:ascii="Times New Roman" w:hAnsi="Times New Roman" w:cs="Times New Roman"/>
          <w:b/>
          <w:sz w:val="24"/>
          <w:szCs w:val="24"/>
        </w:rPr>
        <w:t>n</w:t>
      </w:r>
      <w:r w:rsidRPr="0034312E">
        <w:rPr>
          <w:rFonts w:ascii="Times New Roman" w:hAnsi="Times New Roman" w:cs="Times New Roman"/>
          <w:sz w:val="24"/>
          <w:szCs w:val="24"/>
        </w:rPr>
        <w:t>on et al., 2015).</w:t>
      </w:r>
    </w:p>
    <w:p w:rsidR="00642C30" w:rsidRPr="000B3F7B"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The Benelux countries registered the highest share of electrified network in the European Union in 2012, with 95.3% of length of lines in use electrified in Luxembourg, 85.5% in Belgium (3064 km of 3582 km) and 72.2% in Netherlands. The only European country with 100% of electrified network is Switzerland (European Commission, 2014).</w:t>
      </w:r>
    </w:p>
    <w:p w:rsidR="00261DC3" w:rsidRPr="00F65800" w:rsidRDefault="00C2056C" w:rsidP="001057DB">
      <w:pPr>
        <w:spacing w:after="200"/>
        <w:jc w:val="left"/>
        <w:rPr>
          <w:rFonts w:ascii="Times New Roman" w:hAnsi="Times New Roman" w:cs="Times New Roman"/>
          <w:b/>
          <w:sz w:val="24"/>
          <w:szCs w:val="24"/>
        </w:rPr>
      </w:pPr>
      <w:r w:rsidRPr="00F65800">
        <w:rPr>
          <w:rFonts w:ascii="Times New Roman" w:hAnsi="Times New Roman" w:cs="Times New Roman"/>
          <w:b/>
          <w:sz w:val="24"/>
          <w:szCs w:val="24"/>
        </w:rPr>
        <w:t>2.</w:t>
      </w:r>
      <w:r w:rsidR="00261DC3" w:rsidRPr="00F65800">
        <w:rPr>
          <w:rFonts w:ascii="Times New Roman" w:hAnsi="Times New Roman" w:cs="Times New Roman"/>
          <w:b/>
          <w:sz w:val="24"/>
          <w:szCs w:val="24"/>
        </w:rPr>
        <w:t xml:space="preserve">2 </w:t>
      </w:r>
      <w:r w:rsidRPr="00F65800">
        <w:rPr>
          <w:rFonts w:ascii="Times New Roman" w:hAnsi="Times New Roman" w:cs="Times New Roman"/>
          <w:b/>
          <w:sz w:val="24"/>
          <w:szCs w:val="24"/>
        </w:rPr>
        <w:t>Life Cycle Inventory for rail equipment</w:t>
      </w:r>
    </w:p>
    <w:p w:rsidR="00B13AC0" w:rsidRDefault="00160604" w:rsidP="001057DB">
      <w:pPr>
        <w:spacing w:after="200"/>
        <w:rPr>
          <w:rFonts w:ascii="Times New Roman" w:hAnsi="Times New Roman" w:cs="Times New Roman"/>
          <w:sz w:val="24"/>
          <w:szCs w:val="24"/>
        </w:rPr>
      </w:pPr>
      <w:r w:rsidRPr="00F4456A">
        <w:rPr>
          <w:rFonts w:ascii="Times New Roman" w:hAnsi="Times New Roman" w:cs="Times New Roman"/>
          <w:sz w:val="24"/>
          <w:szCs w:val="24"/>
        </w:rPr>
        <w:t xml:space="preserve">Rail </w:t>
      </w:r>
      <w:r w:rsidR="0034312E" w:rsidRPr="0034312E">
        <w:rPr>
          <w:rFonts w:ascii="Times New Roman" w:hAnsi="Times New Roman" w:cs="Times New Roman"/>
          <w:bCs/>
          <w:sz w:val="24"/>
          <w:szCs w:val="24"/>
        </w:rPr>
        <w:t>equipment stage includes the processes that are connected with the vehicle life cycle (locomotives and rail wagons, excluding the operation) currently used such as manufacturing, maintenance (e.g. consumption on wheels, break shoes, paint, cleaning agents, lubricates, etc. and waste process) and disposal (Spielmann et al., 2007). Belgium has a stock of 1266 locomotives and railcars and 11612 goods transport wagons (European Commission, 2014).</w:t>
      </w:r>
    </w:p>
    <w:p w:rsidR="00261DC3" w:rsidRPr="00F65800" w:rsidRDefault="00C2056C" w:rsidP="001057DB">
      <w:pPr>
        <w:spacing w:after="200"/>
        <w:jc w:val="left"/>
        <w:rPr>
          <w:rFonts w:ascii="Times New Roman" w:hAnsi="Times New Roman" w:cs="Times New Roman"/>
          <w:b/>
          <w:sz w:val="24"/>
          <w:szCs w:val="24"/>
        </w:rPr>
      </w:pPr>
      <w:r w:rsidRPr="00F65800">
        <w:rPr>
          <w:rFonts w:ascii="Times New Roman" w:hAnsi="Times New Roman" w:cs="Times New Roman"/>
          <w:b/>
          <w:sz w:val="24"/>
          <w:szCs w:val="24"/>
        </w:rPr>
        <w:t>2.</w:t>
      </w:r>
      <w:r w:rsidR="00261DC3" w:rsidRPr="00F65800">
        <w:rPr>
          <w:rFonts w:ascii="Times New Roman" w:hAnsi="Times New Roman" w:cs="Times New Roman"/>
          <w:b/>
          <w:sz w:val="24"/>
          <w:szCs w:val="24"/>
        </w:rPr>
        <w:t>3</w:t>
      </w:r>
      <w:r w:rsidRPr="00F65800">
        <w:rPr>
          <w:rFonts w:ascii="Times New Roman" w:hAnsi="Times New Roman" w:cs="Times New Roman"/>
          <w:b/>
          <w:sz w:val="24"/>
          <w:szCs w:val="24"/>
        </w:rPr>
        <w:t xml:space="preserve"> Life Cycle Inventory for rail infrastructure</w:t>
      </w:r>
    </w:p>
    <w:p w:rsidR="0034312E" w:rsidRPr="0034312E" w:rsidRDefault="009D2ECF" w:rsidP="0034312E">
      <w:pPr>
        <w:spacing w:after="200"/>
        <w:rPr>
          <w:rFonts w:ascii="Times New Roman" w:hAnsi="Times New Roman" w:cs="Times New Roman"/>
          <w:bCs/>
          <w:sz w:val="24"/>
          <w:szCs w:val="24"/>
        </w:rPr>
      </w:pPr>
      <w:r>
        <w:rPr>
          <w:rFonts w:ascii="Times New Roman" w:hAnsi="Times New Roman" w:cs="Times New Roman"/>
          <w:sz w:val="24"/>
          <w:szCs w:val="24"/>
        </w:rPr>
        <w:t xml:space="preserve">To </w:t>
      </w:r>
      <w:r w:rsidR="0034312E" w:rsidRPr="0034312E">
        <w:rPr>
          <w:rFonts w:ascii="Times New Roman" w:hAnsi="Times New Roman" w:cs="Times New Roman"/>
          <w:bCs/>
          <w:sz w:val="24"/>
          <w:szCs w:val="24"/>
        </w:rPr>
        <w:t>facilitate the data collection, the rail infrastructure stage has been divided into four parts: railway track system (railway track and railway track foundation), railway bridges, railway tunnels and railway electrical equipment (electric power supply, telecommunication and signal and communication). For all parts, the construction, maintenance and finally disposal is taken into account (Spielmann et al., 2007).</w:t>
      </w:r>
    </w:p>
    <w:p w:rsidR="0034312E" w:rsidRPr="0034312E" w:rsidRDefault="0034312E" w:rsidP="0034312E">
      <w:pPr>
        <w:spacing w:after="200"/>
        <w:rPr>
          <w:rFonts w:ascii="Times New Roman" w:hAnsi="Times New Roman" w:cs="Times New Roman"/>
          <w:bCs/>
          <w:sz w:val="24"/>
          <w:szCs w:val="24"/>
        </w:rPr>
      </w:pPr>
      <w:r w:rsidRPr="0034312E">
        <w:rPr>
          <w:rFonts w:ascii="Times New Roman" w:hAnsi="Times New Roman" w:cs="Times New Roman"/>
          <w:bCs/>
          <w:sz w:val="24"/>
          <w:szCs w:val="24"/>
        </w:rPr>
        <w:t>In order to make the rail infrastructure system more understandable, each of the four parts is divided in turn into different stages (see table 1). In each stage (except general groundwork stage) we analyse its characteristics, transport to the place of construction of the track, railway bridge or railway tunnel, the construction works related to each stage, the maintenance works (included the transport of new material and machines) and the end of life of each material (The SMARTrail Consortium, 2014).</w:t>
      </w:r>
    </w:p>
    <w:p w:rsidR="0034312E" w:rsidRPr="0034312E" w:rsidRDefault="0034312E" w:rsidP="0034312E">
      <w:pPr>
        <w:spacing w:after="200"/>
        <w:rPr>
          <w:rFonts w:ascii="Times New Roman" w:hAnsi="Times New Roman" w:cs="Times New Roman"/>
          <w:bCs/>
          <w:sz w:val="24"/>
          <w:szCs w:val="24"/>
        </w:rPr>
      </w:pPr>
      <w:r w:rsidRPr="0034312E">
        <w:rPr>
          <w:rFonts w:ascii="Times New Roman" w:hAnsi="Times New Roman" w:cs="Times New Roman"/>
          <w:bCs/>
          <w:sz w:val="24"/>
          <w:szCs w:val="24"/>
        </w:rPr>
        <w:t>Common use of infrastructure between passengers and freight transportation entails the difficulty of the distribution of each impact between each type of transport. For rail infrastructure, allocation between passenger and goods transportation is unavoidable (Spielmann and Scholz, 2005).</w:t>
      </w:r>
    </w:p>
    <w:p w:rsidR="00BA1515" w:rsidRDefault="00BA1515" w:rsidP="0034312E">
      <w:pPr>
        <w:spacing w:after="200"/>
        <w:rPr>
          <w:rFonts w:ascii="Times New Roman" w:hAnsi="Times New Roman" w:cs="Times New Roman"/>
          <w:sz w:val="24"/>
          <w:szCs w:val="24"/>
        </w:rPr>
      </w:pPr>
    </w:p>
    <w:p w:rsidR="00DC4A4F" w:rsidRDefault="00DC4A4F" w:rsidP="00540C84">
      <w:pPr>
        <w:spacing w:after="200"/>
        <w:rPr>
          <w:rFonts w:ascii="Times New Roman" w:hAnsi="Times New Roman" w:cs="Times New Roman"/>
          <w:sz w:val="24"/>
          <w:szCs w:val="24"/>
        </w:rPr>
      </w:pPr>
    </w:p>
    <w:p w:rsidR="00DC4A4F" w:rsidRDefault="00DC4A4F">
      <w:pPr>
        <w:spacing w:after="200" w:line="276" w:lineRule="auto"/>
        <w:jc w:val="left"/>
        <w:rPr>
          <w:rFonts w:asciiTheme="minorHAnsi" w:eastAsiaTheme="minorHAnsi" w:hAnsiTheme="minorHAnsi" w:cstheme="minorBidi"/>
          <w:i/>
          <w:iCs/>
          <w:color w:val="1F497D" w:themeColor="text2"/>
          <w:sz w:val="18"/>
          <w:szCs w:val="18"/>
          <w:lang w:eastAsia="en-US"/>
        </w:rPr>
      </w:pPr>
      <w:r>
        <w:br w:type="page"/>
      </w:r>
    </w:p>
    <w:p w:rsidR="00190D67" w:rsidRPr="00586870" w:rsidRDefault="00190D67" w:rsidP="00190D67">
      <w:pPr>
        <w:pStyle w:val="Caption"/>
        <w:keepNext/>
        <w:rPr>
          <w:lang w:val="en-GB"/>
        </w:rPr>
      </w:pPr>
      <w:r w:rsidRPr="00190D67">
        <w:rPr>
          <w:lang w:val="en-GB"/>
        </w:rPr>
        <w:lastRenderedPageBreak/>
        <w:t xml:space="preserve">Table </w:t>
      </w:r>
      <w:r>
        <w:fldChar w:fldCharType="begin"/>
      </w:r>
      <w:r w:rsidRPr="00190D67">
        <w:rPr>
          <w:lang w:val="en-GB"/>
        </w:rPr>
        <w:instrText xml:space="preserve"> SEQ Table \* ARABIC </w:instrText>
      </w:r>
      <w:r>
        <w:fldChar w:fldCharType="separate"/>
      </w:r>
      <w:r w:rsidR="00E7358F">
        <w:rPr>
          <w:noProof/>
          <w:lang w:val="en-GB"/>
        </w:rPr>
        <w:t>1</w:t>
      </w:r>
      <w:r>
        <w:fldChar w:fldCharType="end"/>
      </w:r>
      <w:r w:rsidRPr="00190D67">
        <w:rPr>
          <w:lang w:val="en-GB"/>
        </w:rPr>
        <w:t xml:space="preserve">. Life Cycle Inventory for rail transport. </w:t>
      </w:r>
      <w:r w:rsidRPr="00586870">
        <w:rPr>
          <w:lang w:val="en-GB"/>
        </w:rPr>
        <w:t>Source: Own elaboration based on Spielmann</w:t>
      </w:r>
      <w:r w:rsidR="00480F7A" w:rsidRPr="00480F7A">
        <w:rPr>
          <w:bCs/>
          <w:lang w:val="en-GB"/>
        </w:rPr>
        <w:t xml:space="preserve"> et al.</w:t>
      </w:r>
      <w:r w:rsidRPr="00586870">
        <w:rPr>
          <w:lang w:val="en-GB"/>
        </w:rPr>
        <w:t xml:space="preserve">, 2007; </w:t>
      </w:r>
      <w:r w:rsidRPr="00190D67">
        <w:rPr>
          <w:lang w:val="en-GB"/>
        </w:rPr>
        <w:t>The SMARTrail Consortium, 2014</w:t>
      </w:r>
      <w:r w:rsidR="00586870">
        <w:rPr>
          <w:lang w:val="en-GB"/>
        </w:rPr>
        <w:t xml:space="preserve"> and Stripple</w:t>
      </w:r>
      <w:r w:rsidR="00BC7940" w:rsidRPr="00BC7940">
        <w:rPr>
          <w:rFonts w:ascii="Times New Roman" w:eastAsia="Times New Roman" w:hAnsi="Times New Roman" w:cs="Times New Roman"/>
          <w:i w:val="0"/>
          <w:iCs w:val="0"/>
          <w:color w:val="auto"/>
          <w:sz w:val="24"/>
          <w:szCs w:val="24"/>
          <w:lang w:val="en-GB" w:eastAsia="fr-FR"/>
        </w:rPr>
        <w:t xml:space="preserve"> </w:t>
      </w:r>
      <w:r w:rsidR="00BC7940" w:rsidRPr="00BC7940">
        <w:rPr>
          <w:lang w:val="en-GB"/>
        </w:rPr>
        <w:t>and Uppenberg</w:t>
      </w:r>
      <w:r w:rsidR="00586870">
        <w:rPr>
          <w:lang w:val="en-GB"/>
        </w:rPr>
        <w:t>, 2010.</w:t>
      </w:r>
    </w:p>
    <w:tbl>
      <w:tblPr>
        <w:tblStyle w:val="TableGrid"/>
        <w:tblW w:w="9640" w:type="dxa"/>
        <w:jc w:val="center"/>
        <w:tblLayout w:type="fixed"/>
        <w:tblLook w:val="04A0" w:firstRow="1" w:lastRow="0" w:firstColumn="1" w:lastColumn="0" w:noHBand="0" w:noVBand="1"/>
      </w:tblPr>
      <w:tblGrid>
        <w:gridCol w:w="1443"/>
        <w:gridCol w:w="1414"/>
        <w:gridCol w:w="1412"/>
        <w:gridCol w:w="1588"/>
        <w:gridCol w:w="3783"/>
      </w:tblGrid>
      <w:tr w:rsidR="00F51913" w:rsidRPr="00586870" w:rsidTr="008D0F77">
        <w:trPr>
          <w:jc w:val="center"/>
        </w:trPr>
        <w:tc>
          <w:tcPr>
            <w:tcW w:w="1443" w:type="dxa"/>
            <w:vMerge w:val="restart"/>
            <w:vAlign w:val="center"/>
          </w:tcPr>
          <w:p w:rsidR="00F51913" w:rsidRPr="00586870" w:rsidRDefault="00F51913" w:rsidP="00F51913">
            <w:pPr>
              <w:spacing w:after="200"/>
              <w:jc w:val="center"/>
              <w:rPr>
                <w:rFonts w:ascii="Times New Roman" w:hAnsi="Times New Roman" w:cs="Times New Roman"/>
                <w:szCs w:val="20"/>
              </w:rPr>
            </w:pPr>
            <w:r w:rsidRPr="00586870">
              <w:rPr>
                <w:rFonts w:ascii="Times New Roman" w:hAnsi="Times New Roman" w:cs="Times New Roman"/>
                <w:szCs w:val="20"/>
              </w:rPr>
              <w:t>Life Cycle Inventory for rail transport</w:t>
            </w:r>
          </w:p>
        </w:tc>
        <w:tc>
          <w:tcPr>
            <w:tcW w:w="1414" w:type="dxa"/>
            <w:vMerge w:val="restart"/>
            <w:vAlign w:val="center"/>
          </w:tcPr>
          <w:p w:rsidR="00F51913" w:rsidRPr="00586870" w:rsidRDefault="00F51913" w:rsidP="00F51913">
            <w:pPr>
              <w:spacing w:after="200"/>
              <w:jc w:val="center"/>
              <w:rPr>
                <w:rFonts w:ascii="Times New Roman" w:hAnsi="Times New Roman" w:cs="Times New Roman"/>
                <w:szCs w:val="20"/>
              </w:rPr>
            </w:pPr>
            <w:r w:rsidRPr="00586870">
              <w:rPr>
                <w:rFonts w:ascii="Times New Roman" w:hAnsi="Times New Roman" w:cs="Times New Roman"/>
                <w:szCs w:val="20"/>
              </w:rPr>
              <w:t>Rail Operation</w:t>
            </w:r>
          </w:p>
        </w:tc>
        <w:tc>
          <w:tcPr>
            <w:tcW w:w="3000" w:type="dxa"/>
            <w:gridSpan w:val="2"/>
            <w:vAlign w:val="center"/>
          </w:tcPr>
          <w:p w:rsidR="00F51913" w:rsidRPr="00586870" w:rsidRDefault="00F51913" w:rsidP="00F51913">
            <w:pPr>
              <w:spacing w:after="200"/>
              <w:jc w:val="center"/>
              <w:rPr>
                <w:rFonts w:ascii="Times New Roman" w:hAnsi="Times New Roman" w:cs="Times New Roman"/>
                <w:szCs w:val="20"/>
              </w:rPr>
            </w:pPr>
            <w:r w:rsidRPr="00586870">
              <w:rPr>
                <w:rFonts w:ascii="Times New Roman" w:hAnsi="Times New Roman" w:cs="Times New Roman"/>
                <w:szCs w:val="20"/>
              </w:rPr>
              <w:t>Energy consumption</w:t>
            </w:r>
          </w:p>
        </w:tc>
        <w:tc>
          <w:tcPr>
            <w:tcW w:w="3783" w:type="dxa"/>
            <w:vAlign w:val="center"/>
          </w:tcPr>
          <w:p w:rsidR="00F51913" w:rsidRPr="00586870" w:rsidRDefault="00F51913" w:rsidP="00F51913">
            <w:pPr>
              <w:spacing w:after="200"/>
              <w:jc w:val="left"/>
              <w:rPr>
                <w:rFonts w:ascii="Times New Roman" w:hAnsi="Times New Roman" w:cs="Times New Roman"/>
                <w:sz w:val="20"/>
                <w:szCs w:val="20"/>
              </w:rPr>
            </w:pPr>
          </w:p>
        </w:tc>
      </w:tr>
      <w:tr w:rsidR="00F51913" w:rsidRPr="00586870" w:rsidTr="008D0F77">
        <w:trPr>
          <w:jc w:val="center"/>
        </w:trPr>
        <w:tc>
          <w:tcPr>
            <w:tcW w:w="1443" w:type="dxa"/>
            <w:vMerge/>
            <w:vAlign w:val="center"/>
          </w:tcPr>
          <w:p w:rsidR="00F51913" w:rsidRPr="00586870" w:rsidRDefault="00F51913" w:rsidP="00F51913">
            <w:pPr>
              <w:spacing w:after="200"/>
              <w:jc w:val="center"/>
              <w:rPr>
                <w:rFonts w:ascii="Times New Roman" w:hAnsi="Times New Roman" w:cs="Times New Roman"/>
                <w:szCs w:val="20"/>
              </w:rPr>
            </w:pPr>
          </w:p>
        </w:tc>
        <w:tc>
          <w:tcPr>
            <w:tcW w:w="1414" w:type="dxa"/>
            <w:vMerge/>
            <w:vAlign w:val="center"/>
          </w:tcPr>
          <w:p w:rsidR="00F51913" w:rsidRPr="00586870" w:rsidRDefault="00F51913" w:rsidP="00F51913">
            <w:pPr>
              <w:spacing w:after="200"/>
              <w:jc w:val="center"/>
              <w:rPr>
                <w:rFonts w:ascii="Times New Roman" w:hAnsi="Times New Roman" w:cs="Times New Roman"/>
                <w:szCs w:val="20"/>
              </w:rPr>
            </w:pPr>
          </w:p>
        </w:tc>
        <w:tc>
          <w:tcPr>
            <w:tcW w:w="3000" w:type="dxa"/>
            <w:gridSpan w:val="2"/>
            <w:vAlign w:val="center"/>
          </w:tcPr>
          <w:p w:rsidR="00F51913" w:rsidRPr="00586870" w:rsidRDefault="00F51913" w:rsidP="00F51913">
            <w:pPr>
              <w:spacing w:after="200"/>
              <w:jc w:val="center"/>
              <w:rPr>
                <w:rFonts w:ascii="Times New Roman" w:hAnsi="Times New Roman" w:cs="Times New Roman"/>
                <w:szCs w:val="20"/>
              </w:rPr>
            </w:pPr>
            <w:r w:rsidRPr="00586870">
              <w:rPr>
                <w:rFonts w:ascii="Times New Roman" w:hAnsi="Times New Roman" w:cs="Times New Roman"/>
                <w:szCs w:val="20"/>
              </w:rPr>
              <w:t>Direct emissions</w:t>
            </w:r>
          </w:p>
        </w:tc>
        <w:tc>
          <w:tcPr>
            <w:tcW w:w="3783" w:type="dxa"/>
            <w:vAlign w:val="center"/>
          </w:tcPr>
          <w:p w:rsidR="00F51913" w:rsidRPr="00586870" w:rsidRDefault="00F51913" w:rsidP="00F51913">
            <w:pPr>
              <w:spacing w:after="200"/>
              <w:jc w:val="left"/>
              <w:rPr>
                <w:rFonts w:ascii="Times New Roman" w:hAnsi="Times New Roman" w:cs="Times New Roman"/>
                <w:sz w:val="20"/>
                <w:szCs w:val="20"/>
              </w:rPr>
            </w:pPr>
          </w:p>
        </w:tc>
      </w:tr>
      <w:tr w:rsidR="00A042AF" w:rsidRPr="00586870" w:rsidTr="008D0F77">
        <w:trPr>
          <w:jc w:val="center"/>
        </w:trPr>
        <w:tc>
          <w:tcPr>
            <w:tcW w:w="1443" w:type="dxa"/>
            <w:vMerge/>
            <w:vAlign w:val="center"/>
          </w:tcPr>
          <w:p w:rsidR="00A042AF" w:rsidRPr="00586870" w:rsidRDefault="00A042AF" w:rsidP="00F51913">
            <w:pPr>
              <w:spacing w:after="200"/>
              <w:jc w:val="center"/>
              <w:rPr>
                <w:rFonts w:ascii="Times New Roman" w:hAnsi="Times New Roman" w:cs="Times New Roman"/>
                <w:szCs w:val="20"/>
              </w:rPr>
            </w:pPr>
          </w:p>
        </w:tc>
        <w:tc>
          <w:tcPr>
            <w:tcW w:w="1414" w:type="dxa"/>
            <w:vMerge w:val="restart"/>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Rail Equipment</w:t>
            </w:r>
          </w:p>
        </w:tc>
        <w:tc>
          <w:tcPr>
            <w:tcW w:w="3000" w:type="dxa"/>
            <w:gridSpan w:val="2"/>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Locomotives and railcars</w:t>
            </w:r>
          </w:p>
        </w:tc>
        <w:tc>
          <w:tcPr>
            <w:tcW w:w="3783" w:type="dxa"/>
            <w:vAlign w:val="center"/>
          </w:tcPr>
          <w:p w:rsidR="00A042AF" w:rsidRPr="00586870" w:rsidRDefault="00A042AF" w:rsidP="00F51913">
            <w:pPr>
              <w:spacing w:after="200"/>
              <w:jc w:val="left"/>
              <w:rPr>
                <w:rFonts w:ascii="Times New Roman" w:hAnsi="Times New Roman" w:cs="Times New Roman"/>
                <w:sz w:val="20"/>
                <w:szCs w:val="20"/>
              </w:rPr>
            </w:pPr>
          </w:p>
        </w:tc>
      </w:tr>
      <w:tr w:rsidR="00A042AF" w:rsidRPr="00586870" w:rsidTr="008D0F77">
        <w:trPr>
          <w:jc w:val="center"/>
        </w:trPr>
        <w:tc>
          <w:tcPr>
            <w:tcW w:w="1443" w:type="dxa"/>
            <w:vMerge/>
            <w:vAlign w:val="center"/>
          </w:tcPr>
          <w:p w:rsidR="00A042AF" w:rsidRPr="00586870" w:rsidRDefault="00A042AF" w:rsidP="00F51913">
            <w:pPr>
              <w:spacing w:after="200"/>
              <w:jc w:val="center"/>
              <w:rPr>
                <w:rFonts w:ascii="Times New Roman" w:hAnsi="Times New Roman" w:cs="Times New Roman"/>
                <w:szCs w:val="20"/>
              </w:rPr>
            </w:pPr>
          </w:p>
        </w:tc>
        <w:tc>
          <w:tcPr>
            <w:tcW w:w="1414" w:type="dxa"/>
            <w:vMerge/>
            <w:vAlign w:val="center"/>
          </w:tcPr>
          <w:p w:rsidR="00A042AF" w:rsidRPr="00586870" w:rsidRDefault="00A042AF" w:rsidP="00F51913">
            <w:pPr>
              <w:spacing w:after="200"/>
              <w:jc w:val="center"/>
              <w:rPr>
                <w:rFonts w:ascii="Times New Roman" w:hAnsi="Times New Roman" w:cs="Times New Roman"/>
                <w:szCs w:val="20"/>
              </w:rPr>
            </w:pPr>
          </w:p>
        </w:tc>
        <w:tc>
          <w:tcPr>
            <w:tcW w:w="3000" w:type="dxa"/>
            <w:gridSpan w:val="2"/>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Goods transport wagons</w:t>
            </w:r>
          </w:p>
        </w:tc>
        <w:tc>
          <w:tcPr>
            <w:tcW w:w="3783" w:type="dxa"/>
            <w:vAlign w:val="center"/>
          </w:tcPr>
          <w:p w:rsidR="00A042AF" w:rsidRPr="00586870" w:rsidRDefault="00A042AF" w:rsidP="00F51913">
            <w:pPr>
              <w:spacing w:after="200"/>
              <w:jc w:val="left"/>
              <w:rPr>
                <w:rFonts w:ascii="Times New Roman" w:hAnsi="Times New Roman" w:cs="Times New Roman"/>
                <w:sz w:val="20"/>
                <w:szCs w:val="20"/>
              </w:rPr>
            </w:pPr>
          </w:p>
        </w:tc>
      </w:tr>
      <w:tr w:rsidR="00586870" w:rsidRPr="00586870" w:rsidTr="008D0F77">
        <w:trPr>
          <w:trHeight w:val="2037"/>
          <w:jc w:val="center"/>
        </w:trPr>
        <w:tc>
          <w:tcPr>
            <w:tcW w:w="1443" w:type="dxa"/>
            <w:vMerge/>
            <w:vAlign w:val="center"/>
          </w:tcPr>
          <w:p w:rsidR="00A042AF" w:rsidRPr="00586870" w:rsidRDefault="00A042AF" w:rsidP="00F51913">
            <w:pPr>
              <w:spacing w:after="200"/>
              <w:jc w:val="center"/>
              <w:rPr>
                <w:rFonts w:ascii="Times New Roman" w:hAnsi="Times New Roman" w:cs="Times New Roman"/>
                <w:szCs w:val="20"/>
              </w:rPr>
            </w:pPr>
          </w:p>
        </w:tc>
        <w:tc>
          <w:tcPr>
            <w:tcW w:w="1414" w:type="dxa"/>
            <w:vMerge w:val="restart"/>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Rail Infrastructure</w:t>
            </w:r>
          </w:p>
        </w:tc>
        <w:tc>
          <w:tcPr>
            <w:tcW w:w="1412" w:type="dxa"/>
            <w:vMerge w:val="restart"/>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Railway track system</w:t>
            </w:r>
          </w:p>
        </w:tc>
        <w:tc>
          <w:tcPr>
            <w:tcW w:w="1588" w:type="dxa"/>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Railway track</w:t>
            </w:r>
          </w:p>
        </w:tc>
        <w:tc>
          <w:tcPr>
            <w:tcW w:w="3783" w:type="dxa"/>
            <w:vAlign w:val="center"/>
          </w:tcPr>
          <w:p w:rsidR="00A042AF" w:rsidRPr="00586870" w:rsidRDefault="006F42F7" w:rsidP="00B952A6">
            <w:pPr>
              <w:pStyle w:val="ListParagraph"/>
              <w:numPr>
                <w:ilvl w:val="0"/>
                <w:numId w:val="15"/>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Rail</w:t>
            </w:r>
          </w:p>
          <w:p w:rsidR="006F42F7" w:rsidRPr="00586870" w:rsidRDefault="006F42F7" w:rsidP="00B952A6">
            <w:pPr>
              <w:pStyle w:val="ListParagraph"/>
              <w:numPr>
                <w:ilvl w:val="0"/>
                <w:numId w:val="15"/>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Sleeper</w:t>
            </w:r>
          </w:p>
          <w:p w:rsidR="006F42F7" w:rsidRPr="00586870" w:rsidRDefault="006F42F7" w:rsidP="00B952A6">
            <w:pPr>
              <w:pStyle w:val="ListParagraph"/>
              <w:numPr>
                <w:ilvl w:val="0"/>
                <w:numId w:val="15"/>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Fastening system</w:t>
            </w:r>
          </w:p>
          <w:p w:rsidR="006F42F7" w:rsidRPr="00586870" w:rsidRDefault="006F42F7" w:rsidP="00B952A6">
            <w:pPr>
              <w:pStyle w:val="ListParagraph"/>
              <w:numPr>
                <w:ilvl w:val="0"/>
                <w:numId w:val="15"/>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Elastomeric pads</w:t>
            </w:r>
          </w:p>
          <w:p w:rsidR="006F42F7" w:rsidRPr="00586870" w:rsidRDefault="006F42F7" w:rsidP="00B952A6">
            <w:pPr>
              <w:pStyle w:val="ListParagraph"/>
              <w:numPr>
                <w:ilvl w:val="0"/>
                <w:numId w:val="15"/>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B</w:t>
            </w:r>
            <w:r w:rsidR="00F51913" w:rsidRPr="00586870">
              <w:rPr>
                <w:rFonts w:ascii="Times New Roman" w:hAnsi="Times New Roman" w:cs="Times New Roman"/>
                <w:sz w:val="20"/>
                <w:szCs w:val="20"/>
              </w:rPr>
              <w:t>a</w:t>
            </w:r>
            <w:r w:rsidRPr="00586870">
              <w:rPr>
                <w:rFonts w:ascii="Times New Roman" w:hAnsi="Times New Roman" w:cs="Times New Roman"/>
                <w:sz w:val="20"/>
                <w:szCs w:val="20"/>
              </w:rPr>
              <w:t>llast</w:t>
            </w:r>
          </w:p>
          <w:p w:rsidR="006F42F7" w:rsidRPr="00586870" w:rsidRDefault="006F42F7" w:rsidP="00B952A6">
            <w:pPr>
              <w:pStyle w:val="ListParagraph"/>
              <w:numPr>
                <w:ilvl w:val="0"/>
                <w:numId w:val="15"/>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Base</w:t>
            </w:r>
          </w:p>
          <w:p w:rsidR="006F42F7" w:rsidRPr="00586870" w:rsidRDefault="006F42F7" w:rsidP="00B952A6">
            <w:pPr>
              <w:pStyle w:val="ListParagraph"/>
              <w:numPr>
                <w:ilvl w:val="0"/>
                <w:numId w:val="15"/>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Su</w:t>
            </w:r>
            <w:r w:rsidR="00586870" w:rsidRPr="00586870">
              <w:rPr>
                <w:rFonts w:ascii="Times New Roman" w:hAnsi="Times New Roman" w:cs="Times New Roman"/>
                <w:sz w:val="20"/>
                <w:szCs w:val="20"/>
              </w:rPr>
              <w:t>b</w:t>
            </w:r>
            <w:r w:rsidRPr="00586870">
              <w:rPr>
                <w:rFonts w:ascii="Times New Roman" w:hAnsi="Times New Roman" w:cs="Times New Roman"/>
                <w:sz w:val="20"/>
                <w:szCs w:val="20"/>
              </w:rPr>
              <w:t>-base</w:t>
            </w:r>
          </w:p>
          <w:p w:rsidR="006F42F7" w:rsidRPr="00586870" w:rsidRDefault="006F42F7" w:rsidP="00B952A6">
            <w:pPr>
              <w:pStyle w:val="ListParagraph"/>
              <w:numPr>
                <w:ilvl w:val="0"/>
                <w:numId w:val="15"/>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Geosynthetics material</w:t>
            </w:r>
          </w:p>
        </w:tc>
      </w:tr>
      <w:tr w:rsidR="00586870" w:rsidRPr="00586870" w:rsidTr="008D0F77">
        <w:trPr>
          <w:trHeight w:val="948"/>
          <w:jc w:val="center"/>
        </w:trPr>
        <w:tc>
          <w:tcPr>
            <w:tcW w:w="1443" w:type="dxa"/>
            <w:vMerge/>
            <w:vAlign w:val="center"/>
          </w:tcPr>
          <w:p w:rsidR="00A042AF" w:rsidRPr="00586870" w:rsidRDefault="00A042AF" w:rsidP="00F51913">
            <w:pPr>
              <w:spacing w:after="200"/>
              <w:jc w:val="center"/>
              <w:rPr>
                <w:rFonts w:ascii="Times New Roman" w:hAnsi="Times New Roman" w:cs="Times New Roman"/>
                <w:szCs w:val="20"/>
              </w:rPr>
            </w:pPr>
          </w:p>
        </w:tc>
        <w:tc>
          <w:tcPr>
            <w:tcW w:w="1414" w:type="dxa"/>
            <w:vMerge/>
            <w:vAlign w:val="center"/>
          </w:tcPr>
          <w:p w:rsidR="00A042AF" w:rsidRPr="00586870" w:rsidRDefault="00A042AF" w:rsidP="00F51913">
            <w:pPr>
              <w:spacing w:after="200"/>
              <w:jc w:val="center"/>
              <w:rPr>
                <w:rFonts w:ascii="Times New Roman" w:hAnsi="Times New Roman" w:cs="Times New Roman"/>
                <w:szCs w:val="20"/>
              </w:rPr>
            </w:pPr>
          </w:p>
        </w:tc>
        <w:tc>
          <w:tcPr>
            <w:tcW w:w="1412" w:type="dxa"/>
            <w:vMerge/>
            <w:vAlign w:val="center"/>
          </w:tcPr>
          <w:p w:rsidR="00A042AF" w:rsidRPr="00586870" w:rsidRDefault="00A042AF" w:rsidP="00F51913">
            <w:pPr>
              <w:spacing w:after="200"/>
              <w:jc w:val="center"/>
              <w:rPr>
                <w:rFonts w:ascii="Times New Roman" w:hAnsi="Times New Roman" w:cs="Times New Roman"/>
                <w:szCs w:val="20"/>
              </w:rPr>
            </w:pPr>
          </w:p>
        </w:tc>
        <w:tc>
          <w:tcPr>
            <w:tcW w:w="1588" w:type="dxa"/>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Railway track foundation</w:t>
            </w:r>
          </w:p>
        </w:tc>
        <w:tc>
          <w:tcPr>
            <w:tcW w:w="3783" w:type="dxa"/>
            <w:vAlign w:val="center"/>
          </w:tcPr>
          <w:p w:rsidR="00A042AF" w:rsidRPr="00586870" w:rsidRDefault="006F42F7" w:rsidP="00B952A6">
            <w:pPr>
              <w:pStyle w:val="ListParagraph"/>
              <w:numPr>
                <w:ilvl w:val="0"/>
                <w:numId w:val="14"/>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General groundwork</w:t>
            </w:r>
          </w:p>
          <w:p w:rsidR="006F42F7" w:rsidRPr="00586870" w:rsidRDefault="006F42F7" w:rsidP="00B952A6">
            <w:pPr>
              <w:pStyle w:val="ListParagraph"/>
              <w:numPr>
                <w:ilvl w:val="0"/>
                <w:numId w:val="14"/>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Track foundation work</w:t>
            </w:r>
          </w:p>
          <w:p w:rsidR="006F42F7" w:rsidRPr="00586870" w:rsidRDefault="006F42F7" w:rsidP="00B952A6">
            <w:pPr>
              <w:pStyle w:val="ListParagraph"/>
              <w:numPr>
                <w:ilvl w:val="0"/>
                <w:numId w:val="14"/>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Noise protection</w:t>
            </w:r>
          </w:p>
          <w:p w:rsidR="006F42F7" w:rsidRPr="00586870" w:rsidRDefault="006F42F7" w:rsidP="00B952A6">
            <w:pPr>
              <w:pStyle w:val="ListParagraph"/>
              <w:numPr>
                <w:ilvl w:val="0"/>
                <w:numId w:val="14"/>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Other track structures</w:t>
            </w:r>
          </w:p>
        </w:tc>
      </w:tr>
      <w:tr w:rsidR="00A042AF" w:rsidRPr="00586870" w:rsidTr="008D0F77">
        <w:trPr>
          <w:jc w:val="center"/>
        </w:trPr>
        <w:tc>
          <w:tcPr>
            <w:tcW w:w="1443" w:type="dxa"/>
            <w:vMerge/>
            <w:vAlign w:val="center"/>
          </w:tcPr>
          <w:p w:rsidR="00A042AF" w:rsidRPr="00586870" w:rsidRDefault="00A042AF" w:rsidP="00F51913">
            <w:pPr>
              <w:spacing w:after="200"/>
              <w:jc w:val="center"/>
              <w:rPr>
                <w:rFonts w:ascii="Times New Roman" w:hAnsi="Times New Roman" w:cs="Times New Roman"/>
                <w:szCs w:val="20"/>
              </w:rPr>
            </w:pPr>
          </w:p>
        </w:tc>
        <w:tc>
          <w:tcPr>
            <w:tcW w:w="1414" w:type="dxa"/>
            <w:vMerge/>
            <w:vAlign w:val="center"/>
          </w:tcPr>
          <w:p w:rsidR="00A042AF" w:rsidRPr="00586870" w:rsidRDefault="00A042AF" w:rsidP="00F51913">
            <w:pPr>
              <w:spacing w:after="200"/>
              <w:jc w:val="center"/>
              <w:rPr>
                <w:rFonts w:ascii="Times New Roman" w:hAnsi="Times New Roman" w:cs="Times New Roman"/>
                <w:szCs w:val="20"/>
              </w:rPr>
            </w:pPr>
          </w:p>
        </w:tc>
        <w:tc>
          <w:tcPr>
            <w:tcW w:w="3000" w:type="dxa"/>
            <w:gridSpan w:val="2"/>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Railway bridges</w:t>
            </w:r>
          </w:p>
        </w:tc>
        <w:tc>
          <w:tcPr>
            <w:tcW w:w="3783" w:type="dxa"/>
            <w:vAlign w:val="center"/>
          </w:tcPr>
          <w:p w:rsidR="00A042AF" w:rsidRPr="00586870" w:rsidRDefault="006F42F7" w:rsidP="00B952A6">
            <w:pPr>
              <w:pStyle w:val="ListParagraph"/>
              <w:numPr>
                <w:ilvl w:val="0"/>
                <w:numId w:val="13"/>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General groundwork</w:t>
            </w:r>
          </w:p>
          <w:p w:rsidR="006F42F7" w:rsidRPr="00586870" w:rsidRDefault="006F42F7" w:rsidP="00B952A6">
            <w:pPr>
              <w:pStyle w:val="ListParagraph"/>
              <w:numPr>
                <w:ilvl w:val="0"/>
                <w:numId w:val="13"/>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Railway track (rail, sleeper, faste</w:t>
            </w:r>
            <w:r w:rsidR="00F51913" w:rsidRPr="00586870">
              <w:rPr>
                <w:rFonts w:ascii="Times New Roman" w:hAnsi="Times New Roman" w:cs="Times New Roman"/>
                <w:sz w:val="20"/>
                <w:szCs w:val="20"/>
              </w:rPr>
              <w:t>n</w:t>
            </w:r>
            <w:r w:rsidRPr="00586870">
              <w:rPr>
                <w:rFonts w:ascii="Times New Roman" w:hAnsi="Times New Roman" w:cs="Times New Roman"/>
                <w:sz w:val="20"/>
                <w:szCs w:val="20"/>
              </w:rPr>
              <w:t>ing systems, elastomeric pads and ballast)</w:t>
            </w:r>
          </w:p>
          <w:p w:rsidR="006F42F7" w:rsidRPr="00586870" w:rsidRDefault="006F42F7" w:rsidP="00B952A6">
            <w:pPr>
              <w:pStyle w:val="ListParagraph"/>
              <w:numPr>
                <w:ilvl w:val="0"/>
                <w:numId w:val="13"/>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Noise protection</w:t>
            </w:r>
          </w:p>
          <w:p w:rsidR="006F42F7" w:rsidRPr="00586870" w:rsidRDefault="006F42F7" w:rsidP="00B952A6">
            <w:pPr>
              <w:pStyle w:val="ListParagraph"/>
              <w:numPr>
                <w:ilvl w:val="0"/>
                <w:numId w:val="13"/>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Construction of a concrete bridge</w:t>
            </w:r>
          </w:p>
          <w:p w:rsidR="006F42F7" w:rsidRPr="00586870" w:rsidRDefault="006F42F7" w:rsidP="00B952A6">
            <w:pPr>
              <w:pStyle w:val="ListParagraph"/>
              <w:numPr>
                <w:ilvl w:val="0"/>
                <w:numId w:val="13"/>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Construction of a steel bridge</w:t>
            </w:r>
          </w:p>
        </w:tc>
      </w:tr>
      <w:tr w:rsidR="00A042AF" w:rsidRPr="00586870" w:rsidTr="008D0F77">
        <w:trPr>
          <w:jc w:val="center"/>
        </w:trPr>
        <w:tc>
          <w:tcPr>
            <w:tcW w:w="1443" w:type="dxa"/>
            <w:vMerge/>
            <w:vAlign w:val="center"/>
          </w:tcPr>
          <w:p w:rsidR="00A042AF" w:rsidRPr="00586870" w:rsidRDefault="00A042AF" w:rsidP="00F51913">
            <w:pPr>
              <w:spacing w:after="200"/>
              <w:jc w:val="center"/>
              <w:rPr>
                <w:rFonts w:ascii="Times New Roman" w:hAnsi="Times New Roman" w:cs="Times New Roman"/>
                <w:szCs w:val="20"/>
              </w:rPr>
            </w:pPr>
          </w:p>
        </w:tc>
        <w:tc>
          <w:tcPr>
            <w:tcW w:w="1414" w:type="dxa"/>
            <w:vMerge/>
            <w:vAlign w:val="center"/>
          </w:tcPr>
          <w:p w:rsidR="00A042AF" w:rsidRPr="00586870" w:rsidRDefault="00A042AF" w:rsidP="00F51913">
            <w:pPr>
              <w:spacing w:after="200"/>
              <w:jc w:val="center"/>
              <w:rPr>
                <w:rFonts w:ascii="Times New Roman" w:hAnsi="Times New Roman" w:cs="Times New Roman"/>
                <w:szCs w:val="20"/>
              </w:rPr>
            </w:pPr>
          </w:p>
        </w:tc>
        <w:tc>
          <w:tcPr>
            <w:tcW w:w="3000" w:type="dxa"/>
            <w:gridSpan w:val="2"/>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Railway tunnels</w:t>
            </w:r>
          </w:p>
        </w:tc>
        <w:tc>
          <w:tcPr>
            <w:tcW w:w="3783" w:type="dxa"/>
            <w:vAlign w:val="center"/>
          </w:tcPr>
          <w:p w:rsidR="00A042AF" w:rsidRPr="00586870" w:rsidRDefault="006F42F7" w:rsidP="00B952A6">
            <w:pPr>
              <w:pStyle w:val="ListParagraph"/>
              <w:numPr>
                <w:ilvl w:val="0"/>
                <w:numId w:val="12"/>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General groundwork</w:t>
            </w:r>
          </w:p>
          <w:p w:rsidR="006F42F7" w:rsidRPr="00586870" w:rsidRDefault="006F42F7" w:rsidP="00B952A6">
            <w:pPr>
              <w:pStyle w:val="ListParagraph"/>
              <w:numPr>
                <w:ilvl w:val="0"/>
                <w:numId w:val="12"/>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Tunnel work</w:t>
            </w:r>
          </w:p>
          <w:p w:rsidR="006F42F7" w:rsidRPr="00586870" w:rsidRDefault="006F42F7" w:rsidP="00B952A6">
            <w:pPr>
              <w:pStyle w:val="ListParagraph"/>
              <w:numPr>
                <w:ilvl w:val="0"/>
                <w:numId w:val="12"/>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Other tunnel structures</w:t>
            </w:r>
          </w:p>
        </w:tc>
      </w:tr>
      <w:tr w:rsidR="00A042AF" w:rsidRPr="00586870" w:rsidTr="008D0F77">
        <w:trPr>
          <w:trHeight w:val="829"/>
          <w:jc w:val="center"/>
        </w:trPr>
        <w:tc>
          <w:tcPr>
            <w:tcW w:w="1443" w:type="dxa"/>
            <w:vMerge/>
            <w:vAlign w:val="center"/>
          </w:tcPr>
          <w:p w:rsidR="00A042AF" w:rsidRPr="00586870" w:rsidRDefault="00A042AF" w:rsidP="00F51913">
            <w:pPr>
              <w:spacing w:after="200"/>
              <w:jc w:val="center"/>
              <w:rPr>
                <w:rFonts w:ascii="Times New Roman" w:hAnsi="Times New Roman" w:cs="Times New Roman"/>
                <w:szCs w:val="20"/>
              </w:rPr>
            </w:pPr>
          </w:p>
        </w:tc>
        <w:tc>
          <w:tcPr>
            <w:tcW w:w="1414" w:type="dxa"/>
            <w:vMerge/>
            <w:vAlign w:val="center"/>
          </w:tcPr>
          <w:p w:rsidR="00A042AF" w:rsidRPr="00586870" w:rsidRDefault="00A042AF" w:rsidP="00F51913">
            <w:pPr>
              <w:spacing w:after="200"/>
              <w:jc w:val="center"/>
              <w:rPr>
                <w:rFonts w:ascii="Times New Roman" w:hAnsi="Times New Roman" w:cs="Times New Roman"/>
                <w:szCs w:val="20"/>
              </w:rPr>
            </w:pPr>
          </w:p>
        </w:tc>
        <w:tc>
          <w:tcPr>
            <w:tcW w:w="3000" w:type="dxa"/>
            <w:gridSpan w:val="2"/>
            <w:vAlign w:val="center"/>
          </w:tcPr>
          <w:p w:rsidR="00A042AF" w:rsidRPr="00586870" w:rsidRDefault="00A042AF" w:rsidP="00F51913">
            <w:pPr>
              <w:spacing w:after="200"/>
              <w:jc w:val="center"/>
              <w:rPr>
                <w:rFonts w:ascii="Times New Roman" w:hAnsi="Times New Roman" w:cs="Times New Roman"/>
                <w:szCs w:val="20"/>
              </w:rPr>
            </w:pPr>
            <w:r w:rsidRPr="00586870">
              <w:rPr>
                <w:rFonts w:ascii="Times New Roman" w:hAnsi="Times New Roman" w:cs="Times New Roman"/>
                <w:szCs w:val="20"/>
              </w:rPr>
              <w:t>Railway electrical equipment</w:t>
            </w:r>
          </w:p>
        </w:tc>
        <w:tc>
          <w:tcPr>
            <w:tcW w:w="3783" w:type="dxa"/>
            <w:vAlign w:val="center"/>
          </w:tcPr>
          <w:p w:rsidR="00A042AF" w:rsidRPr="00586870" w:rsidRDefault="0034312E" w:rsidP="00B952A6">
            <w:pPr>
              <w:pStyle w:val="ListParagraph"/>
              <w:numPr>
                <w:ilvl w:val="0"/>
                <w:numId w:val="11"/>
              </w:numPr>
              <w:spacing w:after="200"/>
              <w:ind w:left="415"/>
              <w:jc w:val="left"/>
              <w:rPr>
                <w:rFonts w:ascii="Times New Roman" w:hAnsi="Times New Roman" w:cs="Times New Roman"/>
                <w:sz w:val="20"/>
                <w:szCs w:val="20"/>
              </w:rPr>
            </w:pPr>
            <w:r>
              <w:rPr>
                <w:rFonts w:ascii="Times New Roman" w:hAnsi="Times New Roman" w:cs="Times New Roman"/>
                <w:sz w:val="20"/>
                <w:szCs w:val="20"/>
              </w:rPr>
              <w:t>General groundwork</w:t>
            </w:r>
          </w:p>
          <w:p w:rsidR="00A042AF" w:rsidRPr="00586870" w:rsidRDefault="00A042AF" w:rsidP="00B952A6">
            <w:pPr>
              <w:pStyle w:val="ListParagraph"/>
              <w:numPr>
                <w:ilvl w:val="0"/>
                <w:numId w:val="11"/>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Electric  power supply</w:t>
            </w:r>
          </w:p>
          <w:p w:rsidR="00A042AF" w:rsidRPr="00586870" w:rsidRDefault="00A042AF" w:rsidP="00B952A6">
            <w:pPr>
              <w:pStyle w:val="ListParagraph"/>
              <w:numPr>
                <w:ilvl w:val="0"/>
                <w:numId w:val="11"/>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Telecommunication</w:t>
            </w:r>
          </w:p>
          <w:p w:rsidR="00A042AF" w:rsidRPr="00586870" w:rsidRDefault="00A042AF" w:rsidP="00B952A6">
            <w:pPr>
              <w:pStyle w:val="ListParagraph"/>
              <w:numPr>
                <w:ilvl w:val="0"/>
                <w:numId w:val="11"/>
              </w:numPr>
              <w:spacing w:after="200"/>
              <w:ind w:left="415"/>
              <w:jc w:val="left"/>
              <w:rPr>
                <w:rFonts w:ascii="Times New Roman" w:hAnsi="Times New Roman" w:cs="Times New Roman"/>
                <w:sz w:val="20"/>
                <w:szCs w:val="20"/>
              </w:rPr>
            </w:pPr>
            <w:r w:rsidRPr="00586870">
              <w:rPr>
                <w:rFonts w:ascii="Times New Roman" w:hAnsi="Times New Roman" w:cs="Times New Roman"/>
                <w:sz w:val="20"/>
                <w:szCs w:val="20"/>
              </w:rPr>
              <w:t>Signal &amp; Communication</w:t>
            </w:r>
          </w:p>
        </w:tc>
      </w:tr>
    </w:tbl>
    <w:p w:rsidR="00586870" w:rsidRDefault="00586870" w:rsidP="00540C84">
      <w:pPr>
        <w:spacing w:after="200"/>
        <w:rPr>
          <w:rFonts w:ascii="Times New Roman" w:hAnsi="Times New Roman" w:cs="Times New Roman"/>
          <w:sz w:val="24"/>
          <w:szCs w:val="24"/>
        </w:rPr>
      </w:pPr>
    </w:p>
    <w:p w:rsidR="00C2056C" w:rsidRPr="00567F01" w:rsidRDefault="00C2056C" w:rsidP="001057DB">
      <w:pPr>
        <w:spacing w:after="200"/>
        <w:jc w:val="left"/>
        <w:rPr>
          <w:rFonts w:ascii="Times New Roman" w:hAnsi="Times New Roman" w:cs="Times New Roman"/>
          <w:sz w:val="24"/>
          <w:szCs w:val="24"/>
        </w:rPr>
      </w:pPr>
      <w:r w:rsidRPr="00567F01">
        <w:rPr>
          <w:rFonts w:ascii="Times New Roman" w:hAnsi="Times New Roman" w:cs="Times New Roman"/>
          <w:sz w:val="24"/>
          <w:szCs w:val="24"/>
        </w:rPr>
        <w:t>2.3.1 Life Cycle Inventory for railway track system</w:t>
      </w:r>
    </w:p>
    <w:p w:rsidR="0034312E" w:rsidRPr="0034312E" w:rsidRDefault="00540C84" w:rsidP="0034312E">
      <w:pPr>
        <w:rPr>
          <w:rFonts w:ascii="Times New Roman" w:hAnsi="Times New Roman" w:cs="Times New Roman"/>
          <w:sz w:val="24"/>
          <w:szCs w:val="24"/>
        </w:rPr>
      </w:pPr>
      <w:r w:rsidRPr="0034312E">
        <w:rPr>
          <w:rFonts w:ascii="Times New Roman" w:hAnsi="Times New Roman" w:cs="Times New Roman"/>
          <w:sz w:val="24"/>
          <w:szCs w:val="24"/>
        </w:rPr>
        <w:t xml:space="preserve">The </w:t>
      </w:r>
      <w:r w:rsidR="0034312E" w:rsidRPr="0034312E">
        <w:rPr>
          <w:rFonts w:ascii="Times New Roman" w:hAnsi="Times New Roman" w:cs="Times New Roman"/>
          <w:sz w:val="24"/>
          <w:szCs w:val="24"/>
        </w:rPr>
        <w:t>Life Cycle Inventory (LCI) for railway track is based on the EU FP7 SMARTrail project (The SMARTrail Consortium, 2014). The LCI for railway track is divided in 8 stages, each related with one of the materials/products of the railway track: rail, sleeper, fastening system, elastomeric pads, ballast, base, sub-base and geosysnthetics material.</w:t>
      </w:r>
    </w:p>
    <w:p w:rsidR="0034312E" w:rsidRDefault="0034312E" w:rsidP="0034312E">
      <w:pPr>
        <w:rPr>
          <w:rFonts w:ascii="Times New Roman" w:hAnsi="Times New Roman" w:cs="Times New Roman"/>
          <w:sz w:val="24"/>
          <w:szCs w:val="24"/>
        </w:rPr>
      </w:pPr>
    </w:p>
    <w:p w:rsidR="00567F01" w:rsidRPr="0034312E" w:rsidRDefault="0034312E" w:rsidP="0034312E">
      <w:pPr>
        <w:rPr>
          <w:rFonts w:ascii="Times New Roman" w:hAnsi="Times New Roman" w:cs="Times New Roman"/>
          <w:sz w:val="24"/>
          <w:szCs w:val="24"/>
        </w:rPr>
      </w:pPr>
      <w:r w:rsidRPr="0034312E">
        <w:rPr>
          <w:rFonts w:ascii="Times New Roman" w:hAnsi="Times New Roman" w:cs="Times New Roman"/>
          <w:sz w:val="24"/>
          <w:szCs w:val="24"/>
        </w:rPr>
        <w:t xml:space="preserve">The LCI for railway track foundation is based on the EPD UN CPC 53212 for railway track foundations on the Bothnia Line and the related report of Stripple and Uppenberg, 2010. The </w:t>
      </w:r>
      <w:r w:rsidRPr="0034312E">
        <w:rPr>
          <w:rFonts w:ascii="Times New Roman" w:hAnsi="Times New Roman" w:cs="Times New Roman"/>
          <w:sz w:val="24"/>
          <w:szCs w:val="24"/>
        </w:rPr>
        <w:lastRenderedPageBreak/>
        <w:t>LCI for railway track foundation is divided in 4 stages: General groundwork, track foundation work, noise protection and other track structure.</w:t>
      </w:r>
    </w:p>
    <w:p w:rsidR="008930D0" w:rsidRPr="00567F01" w:rsidRDefault="008930D0" w:rsidP="008930D0">
      <w:pPr>
        <w:rPr>
          <w:rFonts w:ascii="Times New Roman" w:hAnsi="Times New Roman" w:cs="Times New Roman"/>
          <w:sz w:val="24"/>
          <w:szCs w:val="24"/>
        </w:rPr>
      </w:pPr>
    </w:p>
    <w:p w:rsidR="00C2056C" w:rsidRPr="00567F01" w:rsidRDefault="00C2056C" w:rsidP="001057DB">
      <w:pPr>
        <w:spacing w:after="200"/>
        <w:jc w:val="left"/>
        <w:rPr>
          <w:rFonts w:ascii="Times New Roman" w:hAnsi="Times New Roman" w:cs="Times New Roman"/>
          <w:sz w:val="24"/>
          <w:szCs w:val="24"/>
        </w:rPr>
      </w:pPr>
      <w:r w:rsidRPr="00567F01">
        <w:rPr>
          <w:rFonts w:ascii="Times New Roman" w:hAnsi="Times New Roman" w:cs="Times New Roman"/>
          <w:sz w:val="24"/>
          <w:szCs w:val="24"/>
        </w:rPr>
        <w:t>2.3.2 Life Cycle Inventory for railway bridges</w:t>
      </w:r>
    </w:p>
    <w:p w:rsidR="00631EEA" w:rsidRDefault="00540C84" w:rsidP="00540C84">
      <w:pPr>
        <w:spacing w:after="200"/>
        <w:rPr>
          <w:rFonts w:ascii="Times New Roman" w:hAnsi="Times New Roman" w:cs="Times New Roman"/>
          <w:sz w:val="24"/>
          <w:szCs w:val="24"/>
        </w:rPr>
      </w:pPr>
      <w:r w:rsidRPr="00057636">
        <w:rPr>
          <w:rFonts w:ascii="Times New Roman" w:hAnsi="Times New Roman" w:cs="Times New Roman"/>
          <w:sz w:val="24"/>
          <w:szCs w:val="24"/>
        </w:rPr>
        <w:t xml:space="preserve">The </w:t>
      </w:r>
      <w:r w:rsidR="0034312E" w:rsidRPr="0034312E">
        <w:rPr>
          <w:rFonts w:ascii="Times New Roman" w:hAnsi="Times New Roman" w:cs="Times New Roman"/>
          <w:sz w:val="24"/>
          <w:szCs w:val="24"/>
        </w:rPr>
        <w:t>Life Cycle Inventory (LCI) for railway bridges is based on the EU FP7 SMARTrail project</w:t>
      </w:r>
      <w:r w:rsidR="0034312E" w:rsidRPr="0034312E">
        <w:rPr>
          <w:rFonts w:ascii="Times New Roman" w:hAnsi="Times New Roman" w:cs="Times New Roman"/>
          <w:b/>
          <w:sz w:val="24"/>
          <w:szCs w:val="24"/>
        </w:rPr>
        <w:t xml:space="preserve"> </w:t>
      </w:r>
      <w:r w:rsidR="0034312E" w:rsidRPr="0034312E">
        <w:rPr>
          <w:rFonts w:ascii="Times New Roman" w:hAnsi="Times New Roman" w:cs="Times New Roman"/>
          <w:sz w:val="24"/>
          <w:szCs w:val="24"/>
        </w:rPr>
        <w:t>(The SMARTrail Consortium, 2014 )</w:t>
      </w:r>
      <w:r w:rsidR="0034312E" w:rsidRPr="0034312E">
        <w:rPr>
          <w:rFonts w:ascii="Times New Roman" w:hAnsi="Times New Roman" w:cs="Times New Roman"/>
          <w:b/>
          <w:sz w:val="24"/>
          <w:szCs w:val="24"/>
        </w:rPr>
        <w:t xml:space="preserve">, </w:t>
      </w:r>
      <w:r w:rsidR="0034312E" w:rsidRPr="0034312E">
        <w:rPr>
          <w:rFonts w:ascii="Times New Roman" w:hAnsi="Times New Roman" w:cs="Times New Roman"/>
          <w:sz w:val="24"/>
          <w:szCs w:val="24"/>
        </w:rPr>
        <w:t>the EPD UN CPC 53212 for railway bridges on the Bothnia Line and the related report of Stripple and Uppenberg, 2010. The LCI for railway bridges is divided in 5 stages, each related with one of the stage of construction of the railway bridge: general groundwork, railway track system, application of noise protection, construction of a concrete bridge and construction of a steel bridge.</w:t>
      </w:r>
    </w:p>
    <w:p w:rsidR="00C2056C" w:rsidRPr="00567F01" w:rsidRDefault="00C2056C" w:rsidP="001057DB">
      <w:pPr>
        <w:spacing w:after="200"/>
        <w:jc w:val="left"/>
        <w:rPr>
          <w:rFonts w:ascii="Times New Roman" w:hAnsi="Times New Roman" w:cs="Times New Roman"/>
          <w:sz w:val="24"/>
          <w:szCs w:val="24"/>
        </w:rPr>
      </w:pPr>
      <w:r w:rsidRPr="00567F01">
        <w:rPr>
          <w:rFonts w:ascii="Times New Roman" w:hAnsi="Times New Roman" w:cs="Times New Roman"/>
          <w:sz w:val="24"/>
          <w:szCs w:val="24"/>
        </w:rPr>
        <w:t>2.3.3 Life Cycle Inventory for railway tunnels</w:t>
      </w:r>
    </w:p>
    <w:p w:rsidR="00631EEA" w:rsidRDefault="00540C84" w:rsidP="00631EEA">
      <w:pPr>
        <w:spacing w:after="200"/>
        <w:rPr>
          <w:rFonts w:ascii="Times New Roman" w:hAnsi="Times New Roman" w:cs="Times New Roman"/>
          <w:sz w:val="24"/>
          <w:szCs w:val="24"/>
        </w:rPr>
      </w:pPr>
      <w:r>
        <w:rPr>
          <w:rFonts w:ascii="Times New Roman" w:hAnsi="Times New Roman" w:cs="Times New Roman"/>
          <w:sz w:val="24"/>
          <w:szCs w:val="24"/>
        </w:rPr>
        <w:t xml:space="preserve">The </w:t>
      </w:r>
      <w:r w:rsidR="0034312E" w:rsidRPr="0034312E">
        <w:rPr>
          <w:rFonts w:ascii="Times New Roman" w:hAnsi="Times New Roman" w:cs="Times New Roman"/>
          <w:sz w:val="24"/>
          <w:szCs w:val="24"/>
        </w:rPr>
        <w:t>Life Cycle Inventory (LCI) for railway tunnels is based on the EPD UN CPC 53212 for railway tunnels on the Bothnia Line and the related report of Stripple and Uppenberg, 2010. The LCI for railway tunnels is divided in 3 stages: general groundwork, tunnel work and other tunnel structure.</w:t>
      </w:r>
    </w:p>
    <w:p w:rsidR="00C2056C" w:rsidRPr="00567F01" w:rsidRDefault="00C2056C" w:rsidP="001057DB">
      <w:pPr>
        <w:spacing w:after="200"/>
        <w:jc w:val="left"/>
        <w:rPr>
          <w:rFonts w:ascii="Times New Roman" w:hAnsi="Times New Roman" w:cs="Times New Roman"/>
          <w:sz w:val="24"/>
          <w:szCs w:val="24"/>
        </w:rPr>
      </w:pPr>
      <w:r w:rsidRPr="00567F01">
        <w:rPr>
          <w:rFonts w:ascii="Times New Roman" w:hAnsi="Times New Roman" w:cs="Times New Roman"/>
          <w:sz w:val="24"/>
          <w:szCs w:val="24"/>
        </w:rPr>
        <w:t>2.3.4 Life Cycle Inventory for electrical installations in railway</w:t>
      </w:r>
    </w:p>
    <w:p w:rsidR="00C655F8" w:rsidRPr="006455CE" w:rsidRDefault="00631EEA" w:rsidP="006455CE">
      <w:pPr>
        <w:spacing w:after="200"/>
        <w:rPr>
          <w:rFonts w:ascii="Times New Roman" w:hAnsi="Times New Roman" w:cs="Times New Roman"/>
          <w:sz w:val="24"/>
          <w:szCs w:val="24"/>
        </w:rPr>
      </w:pPr>
      <w:r w:rsidRPr="00631EEA">
        <w:rPr>
          <w:rFonts w:ascii="Times New Roman" w:hAnsi="Times New Roman" w:cs="Times New Roman"/>
          <w:sz w:val="24"/>
          <w:szCs w:val="24"/>
        </w:rPr>
        <w:t xml:space="preserve">The </w:t>
      </w:r>
      <w:r w:rsidR="0034312E" w:rsidRPr="0034312E">
        <w:rPr>
          <w:rFonts w:ascii="Times New Roman" w:hAnsi="Times New Roman" w:cs="Times New Roman"/>
          <w:sz w:val="24"/>
          <w:szCs w:val="24"/>
        </w:rPr>
        <w:t>Life Cycle Inventory (LCI) for electrical installations in railway is based on the EPD UN CPC 53212 for power, signalling and telecom system on the Bothnia Line and the related report of Stripple and Uppenberg, 2010. The LCI for electrical installations in railway is divided in 4 stages: general groundwork, electric power supply, telecommunication and signal and communication.</w:t>
      </w:r>
    </w:p>
    <w:p w:rsidR="00C2056C" w:rsidRPr="00F65800" w:rsidRDefault="00C2056C" w:rsidP="001057DB">
      <w:pPr>
        <w:spacing w:after="200"/>
        <w:jc w:val="left"/>
        <w:rPr>
          <w:rFonts w:ascii="Times New Roman" w:hAnsi="Times New Roman" w:cs="Times New Roman"/>
          <w:b/>
          <w:sz w:val="24"/>
          <w:szCs w:val="24"/>
        </w:rPr>
      </w:pPr>
      <w:r w:rsidRPr="00F65800">
        <w:rPr>
          <w:rFonts w:ascii="Times New Roman" w:hAnsi="Times New Roman" w:cs="Times New Roman"/>
          <w:b/>
          <w:sz w:val="24"/>
          <w:szCs w:val="24"/>
        </w:rPr>
        <w:t>2</w:t>
      </w:r>
      <w:r w:rsidR="006455CE" w:rsidRPr="00F65800">
        <w:rPr>
          <w:rFonts w:ascii="Times New Roman" w:hAnsi="Times New Roman" w:cs="Times New Roman"/>
          <w:b/>
          <w:sz w:val="24"/>
          <w:szCs w:val="24"/>
        </w:rPr>
        <w:t>.4</w:t>
      </w:r>
      <w:r w:rsidRPr="00F65800">
        <w:rPr>
          <w:rFonts w:ascii="Times New Roman" w:hAnsi="Times New Roman" w:cs="Times New Roman"/>
          <w:b/>
          <w:sz w:val="24"/>
          <w:szCs w:val="24"/>
        </w:rPr>
        <w:t xml:space="preserve"> </w:t>
      </w:r>
      <w:r w:rsidR="00403A97" w:rsidRPr="00F65800">
        <w:rPr>
          <w:rFonts w:ascii="Times New Roman" w:hAnsi="Times New Roman" w:cs="Times New Roman"/>
          <w:b/>
          <w:sz w:val="24"/>
          <w:szCs w:val="24"/>
        </w:rPr>
        <w:t>New impact categories</w:t>
      </w:r>
    </w:p>
    <w:p w:rsidR="00567F01" w:rsidRPr="0034312E" w:rsidRDefault="00700D13" w:rsidP="001057DB">
      <w:pPr>
        <w:spacing w:after="200"/>
        <w:rPr>
          <w:rFonts w:ascii="Times New Roman" w:hAnsi="Times New Roman" w:cs="Times New Roman"/>
          <w:sz w:val="24"/>
          <w:szCs w:val="24"/>
        </w:rPr>
      </w:pPr>
      <w:r w:rsidRPr="00700D13">
        <w:rPr>
          <w:rFonts w:ascii="Times New Roman" w:hAnsi="Times New Roman" w:cs="Times New Roman"/>
          <w:sz w:val="24"/>
          <w:szCs w:val="24"/>
          <w:lang w:val="en-US"/>
        </w:rPr>
        <w:t xml:space="preserve">The </w:t>
      </w:r>
      <w:r w:rsidR="0034312E" w:rsidRPr="0034312E">
        <w:rPr>
          <w:rFonts w:ascii="Times New Roman" w:hAnsi="Times New Roman" w:cs="Times New Roman"/>
          <w:sz w:val="24"/>
          <w:szCs w:val="24"/>
          <w:lang w:val="en-US"/>
        </w:rPr>
        <w:t xml:space="preserve">use of LCA method in the transport sector shows its methodological limitations. Indeed, significant and relevant environmental impacts such as those related to accidents damages, noise impact and land use planning, are not adequately measured using the current LCA methodology. </w:t>
      </w:r>
      <w:r w:rsidR="0034312E" w:rsidRPr="0034312E">
        <w:rPr>
          <w:rFonts w:ascii="Times New Roman" w:hAnsi="Times New Roman" w:cs="Times New Roman"/>
          <w:sz w:val="24"/>
          <w:szCs w:val="24"/>
        </w:rPr>
        <w:t xml:space="preserve">Therefore, to achieve the objectives of the study, it is required to improve the current methodology with the development and harmonization of new impact categories relative to accidents damages (Fries and Hellweg, 2014), </w:t>
      </w:r>
      <w:r w:rsidR="0034312E" w:rsidRPr="0034312E">
        <w:rPr>
          <w:rFonts w:ascii="Times New Roman" w:hAnsi="Times New Roman" w:cs="Times New Roman"/>
          <w:bCs/>
          <w:sz w:val="24"/>
          <w:szCs w:val="24"/>
        </w:rPr>
        <w:t>noise impact (Althaus et al., 2009 and Cucurachi et al., 2012) and land use</w:t>
      </w:r>
      <w:r w:rsidR="0034312E" w:rsidRPr="0034312E">
        <w:rPr>
          <w:rFonts w:ascii="Times New Roman" w:hAnsi="Times New Roman" w:cs="Times New Roman"/>
          <w:sz w:val="24"/>
          <w:szCs w:val="24"/>
        </w:rPr>
        <w:t xml:space="preserve"> planning (Koellner et al., 2013) for impact assessment.</w:t>
      </w:r>
    </w:p>
    <w:p w:rsidR="00567F01" w:rsidRPr="00F65800" w:rsidRDefault="00D200EA" w:rsidP="001057DB">
      <w:pPr>
        <w:spacing w:after="200"/>
        <w:jc w:val="left"/>
        <w:rPr>
          <w:rFonts w:ascii="Times New Roman" w:hAnsi="Times New Roman" w:cs="Times New Roman"/>
          <w:b/>
          <w:sz w:val="24"/>
          <w:szCs w:val="24"/>
        </w:rPr>
      </w:pPr>
      <w:r w:rsidRPr="00F65800">
        <w:rPr>
          <w:rFonts w:ascii="Times New Roman" w:hAnsi="Times New Roman" w:cs="Times New Roman"/>
          <w:b/>
          <w:sz w:val="24"/>
          <w:szCs w:val="24"/>
        </w:rPr>
        <w:t>2.5</w:t>
      </w:r>
      <w:r w:rsidR="00B76ED6" w:rsidRPr="00F65800">
        <w:rPr>
          <w:rFonts w:ascii="Times New Roman" w:hAnsi="Times New Roman" w:cs="Times New Roman"/>
          <w:b/>
          <w:sz w:val="24"/>
          <w:szCs w:val="24"/>
        </w:rPr>
        <w:t xml:space="preserve"> External cost</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 xml:space="preserve">Willingness of Europe to promote intermodal transportation by internalization of external costs is the last opportunity addressed in this field. In order to complete the environmental impact assessment of rail freight intermodality in Belgium, a study of external costs will be considered. </w:t>
      </w:r>
    </w:p>
    <w:p w:rsidR="0034312E" w:rsidRPr="008111A7"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 xml:space="preserve">The negative external costs of transport are not usually assumed by transport users and hence not taken into account when they decide to use transportation. The internalisation of external costs by transport users could be used for mitigate the negative effects of transport </w:t>
      </w:r>
      <w:r w:rsidRPr="0034312E">
        <w:rPr>
          <w:rFonts w:ascii="Times New Roman" w:hAnsi="Times New Roman" w:cs="Times New Roman"/>
          <w:sz w:val="24"/>
          <w:szCs w:val="24"/>
        </w:rPr>
        <w:lastRenderedPageBreak/>
        <w:t>(RICARDO AEA, 2014). In rail transport, internalisation of negative external costs is not as developed as for road transport. The most important negative externalities are the direct air emissions, noise, water pollution, congestion, accidents and land use by the infrastructure (Demir et al., 2015).</w:t>
      </w:r>
    </w:p>
    <w:p w:rsidR="00885302" w:rsidRPr="00885302" w:rsidRDefault="00885302" w:rsidP="001057DB">
      <w:pPr>
        <w:spacing w:after="200"/>
        <w:jc w:val="left"/>
        <w:rPr>
          <w:rFonts w:ascii="Times New Roman" w:hAnsi="Times New Roman" w:cs="Times New Roman"/>
          <w:b/>
          <w:sz w:val="24"/>
          <w:szCs w:val="24"/>
        </w:rPr>
      </w:pPr>
      <w:r w:rsidRPr="00885302">
        <w:rPr>
          <w:rFonts w:ascii="Times New Roman" w:hAnsi="Times New Roman" w:cs="Times New Roman"/>
          <w:b/>
          <w:sz w:val="24"/>
          <w:szCs w:val="24"/>
        </w:rPr>
        <w:t xml:space="preserve">3 </w:t>
      </w:r>
      <w:r w:rsidRPr="00F65800">
        <w:rPr>
          <w:rFonts w:ascii="Times New Roman" w:hAnsi="Times New Roman" w:cs="Times New Roman"/>
          <w:b/>
          <w:sz w:val="24"/>
          <w:szCs w:val="24"/>
          <w:u w:val="single"/>
        </w:rPr>
        <w:t>Conclusion</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 xml:space="preserve">The results obtained in this study could help in making optimised policy decisions relative to the development of intermodal transportation in Belgium including environmental aspects and allowing the pollution reduction of direct emissions. Moreover, environmental impacts (including effects on human health and ecosystems) and negative external cost will be a criterion to help in decision-making concerning future developments for rail transportation. </w:t>
      </w:r>
    </w:p>
    <w:p w:rsid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The combination between the LCA approach and monetization of impacts will allow obtaining a precise analysis of external costs of rail transport (RICARDO AEA, 2014), and then provide information to promote this intermodal transportation. Moreover, a comparison between the most plausible scenarios of rail, road, inland waterways freight transport or combinations of them will be made.</w:t>
      </w:r>
    </w:p>
    <w:p w:rsidR="0034312E" w:rsidRPr="0034312E" w:rsidRDefault="0034312E" w:rsidP="0034312E">
      <w:pPr>
        <w:spacing w:after="200"/>
        <w:rPr>
          <w:rFonts w:ascii="Times New Roman" w:hAnsi="Times New Roman" w:cs="Times New Roman"/>
          <w:sz w:val="24"/>
          <w:szCs w:val="24"/>
        </w:rPr>
      </w:pPr>
      <w:r w:rsidRPr="0034312E">
        <w:rPr>
          <w:rFonts w:ascii="Times New Roman" w:hAnsi="Times New Roman" w:cs="Times New Roman"/>
          <w:sz w:val="24"/>
          <w:szCs w:val="24"/>
        </w:rPr>
        <w:t xml:space="preserve">The results also improve the accuracy of transport databases and potentially improve the environmental impact of transport. Results will highlight clues of improvement in terms of rail transportation for several impact categories in e.g. climate change, ecotoxicity, acidification or </w:t>
      </w:r>
      <w:r w:rsidRPr="0034312E">
        <w:rPr>
          <w:rFonts w:ascii="Times New Roman" w:hAnsi="Times New Roman" w:cs="Times New Roman"/>
          <w:bCs/>
          <w:sz w:val="24"/>
          <w:szCs w:val="24"/>
        </w:rPr>
        <w:t>human toxicity (cancer and non-cancer related).</w:t>
      </w:r>
      <w:r w:rsidRPr="0034312E">
        <w:rPr>
          <w:rFonts w:ascii="Times New Roman" w:hAnsi="Times New Roman" w:cs="Times New Roman"/>
          <w:sz w:val="24"/>
          <w:szCs w:val="24"/>
        </w:rPr>
        <w:t xml:space="preserve"> </w:t>
      </w:r>
    </w:p>
    <w:p w:rsidR="00D3485B" w:rsidRDefault="00D3485B" w:rsidP="0034312E">
      <w:pPr>
        <w:spacing w:after="200"/>
        <w:rPr>
          <w:rFonts w:ascii="Times New Roman" w:hAnsi="Times New Roman" w:cs="Times New Roman"/>
          <w:sz w:val="24"/>
          <w:szCs w:val="24"/>
        </w:rPr>
      </w:pPr>
    </w:p>
    <w:p w:rsidR="006C178F" w:rsidRPr="0034312E" w:rsidRDefault="006C178F" w:rsidP="001057DB">
      <w:pPr>
        <w:spacing w:after="200"/>
        <w:rPr>
          <w:rFonts w:ascii="Times New Roman" w:hAnsi="Times New Roman" w:cs="Times New Roman"/>
          <w:b/>
          <w:sz w:val="24"/>
          <w:szCs w:val="24"/>
          <w:u w:val="single"/>
        </w:rPr>
      </w:pPr>
      <w:r w:rsidRPr="0034312E">
        <w:rPr>
          <w:rFonts w:ascii="Times New Roman" w:hAnsi="Times New Roman" w:cs="Times New Roman"/>
          <w:b/>
          <w:sz w:val="24"/>
          <w:szCs w:val="24"/>
          <w:u w:val="single"/>
        </w:rPr>
        <w:t>Acknowledgement</w:t>
      </w:r>
    </w:p>
    <w:p w:rsidR="006C178F" w:rsidRDefault="006C178F" w:rsidP="001057DB">
      <w:pPr>
        <w:spacing w:after="200"/>
        <w:rPr>
          <w:rFonts w:ascii="Times New Roman" w:hAnsi="Times New Roman" w:cs="Times New Roman"/>
          <w:bCs/>
          <w:sz w:val="24"/>
          <w:szCs w:val="24"/>
        </w:rPr>
      </w:pPr>
      <w:r>
        <w:rPr>
          <w:rFonts w:ascii="Times New Roman" w:hAnsi="Times New Roman" w:cs="Times New Roman"/>
          <w:sz w:val="24"/>
          <w:szCs w:val="24"/>
        </w:rPr>
        <w:t xml:space="preserve">The </w:t>
      </w:r>
      <w:r w:rsidRPr="00335235">
        <w:rPr>
          <w:rFonts w:ascii="Times New Roman" w:hAnsi="Times New Roman" w:cs="Times New Roman"/>
          <w:bCs/>
          <w:sz w:val="24"/>
          <w:szCs w:val="24"/>
        </w:rPr>
        <w:t>researches underlying these results have been financed by the Belgian Science Policy under Contract No. [BR/132/A4/BRAIN-TRAINS</w:t>
      </w:r>
      <w:r>
        <w:rPr>
          <w:rFonts w:ascii="Times New Roman" w:hAnsi="Times New Roman" w:cs="Times New Roman"/>
          <w:bCs/>
          <w:sz w:val="24"/>
          <w:szCs w:val="24"/>
        </w:rPr>
        <w:t>].</w:t>
      </w:r>
    </w:p>
    <w:p w:rsidR="006C178F" w:rsidRPr="00F65800" w:rsidRDefault="006C178F" w:rsidP="001057DB">
      <w:pPr>
        <w:spacing w:after="200"/>
        <w:rPr>
          <w:rFonts w:ascii="Times New Roman" w:hAnsi="Times New Roman" w:cs="Times New Roman"/>
          <w:b/>
          <w:bCs/>
          <w:sz w:val="24"/>
          <w:szCs w:val="24"/>
          <w:u w:val="single"/>
        </w:rPr>
      </w:pPr>
      <w:r w:rsidRPr="00F65800">
        <w:rPr>
          <w:rFonts w:ascii="Times New Roman" w:hAnsi="Times New Roman" w:cs="Times New Roman"/>
          <w:b/>
          <w:bCs/>
          <w:sz w:val="24"/>
          <w:szCs w:val="24"/>
          <w:u w:val="single"/>
        </w:rPr>
        <w:t>References</w:t>
      </w:r>
    </w:p>
    <w:p w:rsidR="004D534D" w:rsidRDefault="004D534D" w:rsidP="001057DB">
      <w:pPr>
        <w:spacing w:after="200"/>
        <w:rPr>
          <w:rFonts w:ascii="Times New Roman" w:hAnsi="Times New Roman" w:cs="Times New Roman"/>
          <w:bCs/>
          <w:sz w:val="24"/>
          <w:szCs w:val="24"/>
          <w:lang w:val="nl-BE"/>
        </w:rPr>
      </w:pPr>
      <w:r>
        <w:rPr>
          <w:rFonts w:ascii="Times New Roman" w:hAnsi="Times New Roman" w:cs="Times New Roman"/>
          <w:bCs/>
          <w:sz w:val="24"/>
          <w:szCs w:val="24"/>
        </w:rPr>
        <w:t xml:space="preserve">Althaus, </w:t>
      </w:r>
      <w:r w:rsidRPr="004D534D">
        <w:rPr>
          <w:rFonts w:ascii="Times New Roman" w:hAnsi="Times New Roman" w:cs="Times New Roman"/>
          <w:bCs/>
          <w:sz w:val="24"/>
          <w:szCs w:val="24"/>
          <w:lang w:val="nl-BE"/>
        </w:rPr>
        <w:t>H.</w:t>
      </w:r>
      <w:r w:rsidR="00237617">
        <w:rPr>
          <w:rFonts w:ascii="Times New Roman" w:hAnsi="Times New Roman" w:cs="Times New Roman"/>
          <w:bCs/>
          <w:sz w:val="24"/>
          <w:szCs w:val="24"/>
          <w:lang w:val="nl-BE"/>
        </w:rPr>
        <w:t>J., de Haan, P., Scholz, R.</w:t>
      </w:r>
      <w:r w:rsidRPr="004D534D">
        <w:rPr>
          <w:rFonts w:ascii="Times New Roman" w:hAnsi="Times New Roman" w:cs="Times New Roman"/>
          <w:bCs/>
          <w:sz w:val="24"/>
          <w:szCs w:val="24"/>
          <w:lang w:val="nl-BE"/>
        </w:rPr>
        <w:t xml:space="preserve">W. (2009) </w:t>
      </w:r>
      <w:r w:rsidRPr="004D534D">
        <w:rPr>
          <w:rFonts w:ascii="Times New Roman" w:hAnsi="Times New Roman" w:cs="Times New Roman"/>
          <w:bCs/>
          <w:i/>
          <w:sz w:val="24"/>
          <w:szCs w:val="24"/>
          <w:lang w:val="nl-BE"/>
        </w:rPr>
        <w:t>Part 1: state-of-science and requirement profile for consistent context-sensitive integration of traffic noise in LCA</w:t>
      </w:r>
      <w:r w:rsidRPr="004D534D">
        <w:rPr>
          <w:rFonts w:ascii="Times New Roman" w:hAnsi="Times New Roman" w:cs="Times New Roman"/>
          <w:bCs/>
          <w:sz w:val="24"/>
          <w:szCs w:val="24"/>
          <w:lang w:val="nl-BE"/>
        </w:rPr>
        <w:t>. The International Journal of Life Cycle Assessment, Volume 14, pp 560-57</w:t>
      </w:r>
      <w:r>
        <w:rPr>
          <w:rFonts w:ascii="Times New Roman" w:hAnsi="Times New Roman" w:cs="Times New Roman"/>
          <w:bCs/>
          <w:sz w:val="24"/>
          <w:szCs w:val="24"/>
          <w:lang w:val="nl-BE"/>
        </w:rPr>
        <w:t>0.</w:t>
      </w:r>
    </w:p>
    <w:p w:rsidR="003F014F" w:rsidRPr="003F014F" w:rsidRDefault="003F014F" w:rsidP="003F014F">
      <w:pPr>
        <w:spacing w:after="200"/>
        <w:rPr>
          <w:rFonts w:ascii="Times New Roman" w:hAnsi="Times New Roman" w:cs="Times New Roman"/>
          <w:bCs/>
          <w:sz w:val="24"/>
          <w:szCs w:val="24"/>
        </w:rPr>
      </w:pPr>
      <w:r w:rsidRPr="003F014F">
        <w:rPr>
          <w:rFonts w:ascii="Times New Roman" w:hAnsi="Times New Roman" w:cs="Times New Roman"/>
          <w:bCs/>
          <w:sz w:val="24"/>
          <w:szCs w:val="24"/>
        </w:rPr>
        <w:t>Botniabanan A</w:t>
      </w:r>
      <w:r w:rsidR="00F22ECC">
        <w:rPr>
          <w:rFonts w:ascii="Times New Roman" w:hAnsi="Times New Roman" w:cs="Times New Roman"/>
          <w:bCs/>
          <w:sz w:val="24"/>
          <w:szCs w:val="24"/>
        </w:rPr>
        <w:t>B (2010) Environmental Product D</w:t>
      </w:r>
      <w:r w:rsidRPr="003F014F">
        <w:rPr>
          <w:rFonts w:ascii="Times New Roman" w:hAnsi="Times New Roman" w:cs="Times New Roman"/>
          <w:bCs/>
          <w:sz w:val="24"/>
          <w:szCs w:val="24"/>
        </w:rPr>
        <w:t>eclaration (EPD) UN CPC 53212 for power, signalling and telecom systems on the Bothnia Line.</w:t>
      </w:r>
    </w:p>
    <w:p w:rsidR="003F014F" w:rsidRPr="003F014F" w:rsidRDefault="003F014F" w:rsidP="003F014F">
      <w:pPr>
        <w:spacing w:after="200"/>
        <w:rPr>
          <w:rFonts w:ascii="Times New Roman" w:hAnsi="Times New Roman" w:cs="Times New Roman"/>
          <w:bCs/>
          <w:sz w:val="24"/>
          <w:szCs w:val="24"/>
        </w:rPr>
      </w:pPr>
      <w:r w:rsidRPr="003F014F">
        <w:rPr>
          <w:rFonts w:ascii="Times New Roman" w:hAnsi="Times New Roman" w:cs="Times New Roman"/>
          <w:bCs/>
          <w:sz w:val="24"/>
          <w:szCs w:val="24"/>
        </w:rPr>
        <w:t>Botniabanan A</w:t>
      </w:r>
      <w:r w:rsidR="00F22ECC">
        <w:rPr>
          <w:rFonts w:ascii="Times New Roman" w:hAnsi="Times New Roman" w:cs="Times New Roman"/>
          <w:bCs/>
          <w:sz w:val="24"/>
          <w:szCs w:val="24"/>
        </w:rPr>
        <w:t>B (2010) Environmental Product D</w:t>
      </w:r>
      <w:r w:rsidRPr="003F014F">
        <w:rPr>
          <w:rFonts w:ascii="Times New Roman" w:hAnsi="Times New Roman" w:cs="Times New Roman"/>
          <w:bCs/>
          <w:sz w:val="24"/>
          <w:szCs w:val="24"/>
        </w:rPr>
        <w:t>eclaration (EPD) UN CPC 53212 for railway bridges on the Bothnia Line.</w:t>
      </w:r>
    </w:p>
    <w:p w:rsidR="003F014F" w:rsidRPr="003F014F" w:rsidRDefault="003F014F" w:rsidP="003F014F">
      <w:pPr>
        <w:spacing w:after="200"/>
        <w:rPr>
          <w:rFonts w:ascii="Times New Roman" w:hAnsi="Times New Roman" w:cs="Times New Roman"/>
          <w:bCs/>
          <w:sz w:val="24"/>
          <w:szCs w:val="24"/>
        </w:rPr>
      </w:pPr>
      <w:r w:rsidRPr="003F014F">
        <w:rPr>
          <w:rFonts w:ascii="Times New Roman" w:hAnsi="Times New Roman" w:cs="Times New Roman"/>
          <w:bCs/>
          <w:sz w:val="24"/>
          <w:szCs w:val="24"/>
        </w:rPr>
        <w:t>Botniabanan A</w:t>
      </w:r>
      <w:r w:rsidR="00F22ECC">
        <w:rPr>
          <w:rFonts w:ascii="Times New Roman" w:hAnsi="Times New Roman" w:cs="Times New Roman"/>
          <w:bCs/>
          <w:sz w:val="24"/>
          <w:szCs w:val="24"/>
        </w:rPr>
        <w:t>B (2010) Environmental Product D</w:t>
      </w:r>
      <w:r w:rsidRPr="003F014F">
        <w:rPr>
          <w:rFonts w:ascii="Times New Roman" w:hAnsi="Times New Roman" w:cs="Times New Roman"/>
          <w:bCs/>
          <w:sz w:val="24"/>
          <w:szCs w:val="24"/>
        </w:rPr>
        <w:t>eclaration (EPD) UN CPC 53212 for railway track foundations on the Bothnia Line.</w:t>
      </w:r>
    </w:p>
    <w:p w:rsidR="003F014F" w:rsidRDefault="003F014F" w:rsidP="001057DB">
      <w:pPr>
        <w:spacing w:after="200"/>
        <w:rPr>
          <w:rFonts w:ascii="Times New Roman" w:hAnsi="Times New Roman" w:cs="Times New Roman"/>
          <w:bCs/>
          <w:sz w:val="24"/>
          <w:szCs w:val="24"/>
        </w:rPr>
      </w:pPr>
      <w:r w:rsidRPr="003F014F">
        <w:rPr>
          <w:rFonts w:ascii="Times New Roman" w:hAnsi="Times New Roman" w:cs="Times New Roman"/>
          <w:bCs/>
          <w:sz w:val="24"/>
          <w:szCs w:val="24"/>
        </w:rPr>
        <w:t>Botniabanan A</w:t>
      </w:r>
      <w:r w:rsidR="00F22ECC">
        <w:rPr>
          <w:rFonts w:ascii="Times New Roman" w:hAnsi="Times New Roman" w:cs="Times New Roman"/>
          <w:bCs/>
          <w:sz w:val="24"/>
          <w:szCs w:val="24"/>
        </w:rPr>
        <w:t>B (2010) Environmental Product D</w:t>
      </w:r>
      <w:r w:rsidRPr="003F014F">
        <w:rPr>
          <w:rFonts w:ascii="Times New Roman" w:hAnsi="Times New Roman" w:cs="Times New Roman"/>
          <w:bCs/>
          <w:sz w:val="24"/>
          <w:szCs w:val="24"/>
        </w:rPr>
        <w:t>eclaration (EPD) UN CPC 53212 for railway tunnels on the Bothnia Line.</w:t>
      </w:r>
    </w:p>
    <w:p w:rsidR="008471C7" w:rsidRDefault="008471C7" w:rsidP="001057DB">
      <w:pPr>
        <w:spacing w:after="200"/>
        <w:rPr>
          <w:rFonts w:ascii="Times New Roman" w:hAnsi="Times New Roman" w:cs="Times New Roman"/>
          <w:sz w:val="24"/>
          <w:szCs w:val="24"/>
        </w:rPr>
      </w:pPr>
      <w:r>
        <w:rPr>
          <w:rFonts w:ascii="Times New Roman" w:hAnsi="Times New Roman" w:cs="Times New Roman"/>
          <w:bCs/>
          <w:sz w:val="24"/>
          <w:szCs w:val="24"/>
        </w:rPr>
        <w:lastRenderedPageBreak/>
        <w:t xml:space="preserve">Crozet, </w:t>
      </w:r>
      <w:r w:rsidRPr="008471C7">
        <w:rPr>
          <w:rFonts w:ascii="Times New Roman" w:hAnsi="Times New Roman" w:cs="Times New Roman"/>
          <w:sz w:val="24"/>
          <w:szCs w:val="24"/>
        </w:rPr>
        <w:t xml:space="preserve">Y., Haucap, J., Pagel, B., Musso, A., </w:t>
      </w:r>
      <w:r w:rsidR="0088514E">
        <w:rPr>
          <w:rFonts w:ascii="Times New Roman" w:hAnsi="Times New Roman" w:cs="Times New Roman"/>
          <w:sz w:val="24"/>
          <w:szCs w:val="24"/>
        </w:rPr>
        <w:t xml:space="preserve">Piccioni, C., </w:t>
      </w:r>
      <w:r w:rsidRPr="008471C7">
        <w:rPr>
          <w:rFonts w:ascii="Times New Roman" w:hAnsi="Times New Roman" w:cs="Times New Roman"/>
          <w:sz w:val="24"/>
          <w:szCs w:val="24"/>
        </w:rPr>
        <w:t xml:space="preserve">Van de Voorde, </w:t>
      </w:r>
      <w:r w:rsidR="003F0274">
        <w:rPr>
          <w:rFonts w:ascii="Times New Roman" w:hAnsi="Times New Roman" w:cs="Times New Roman"/>
          <w:sz w:val="24"/>
          <w:szCs w:val="24"/>
        </w:rPr>
        <w:t xml:space="preserve">E., Vanelslander, T., </w:t>
      </w:r>
      <w:r w:rsidR="0088514E">
        <w:rPr>
          <w:rFonts w:ascii="Times New Roman" w:hAnsi="Times New Roman" w:cs="Times New Roman"/>
          <w:sz w:val="24"/>
          <w:szCs w:val="24"/>
        </w:rPr>
        <w:t>Wood</w:t>
      </w:r>
      <w:r w:rsidR="00F05761">
        <w:rPr>
          <w:rFonts w:ascii="Times New Roman" w:hAnsi="Times New Roman" w:cs="Times New Roman"/>
          <w:sz w:val="24"/>
          <w:szCs w:val="24"/>
        </w:rPr>
        <w:t>burn, A. (2014)</w:t>
      </w:r>
      <w:r w:rsidRPr="008471C7">
        <w:rPr>
          <w:rFonts w:ascii="Times New Roman" w:hAnsi="Times New Roman" w:cs="Times New Roman"/>
          <w:sz w:val="24"/>
          <w:szCs w:val="24"/>
        </w:rPr>
        <w:t xml:space="preserve"> </w:t>
      </w:r>
      <w:r w:rsidRPr="003F0274">
        <w:rPr>
          <w:rFonts w:ascii="Times New Roman" w:hAnsi="Times New Roman" w:cs="Times New Roman"/>
          <w:i/>
          <w:sz w:val="24"/>
          <w:szCs w:val="24"/>
        </w:rPr>
        <w:t>Development of rail freight in Europe: What regulation can and cannot do</w:t>
      </w:r>
      <w:r w:rsidR="003F0274">
        <w:rPr>
          <w:rFonts w:ascii="Times New Roman" w:hAnsi="Times New Roman" w:cs="Times New Roman"/>
          <w:i/>
          <w:sz w:val="24"/>
          <w:szCs w:val="24"/>
        </w:rPr>
        <w:t>. CERRE policy paper</w:t>
      </w:r>
      <w:r w:rsidRPr="008471C7">
        <w:rPr>
          <w:rFonts w:ascii="Times New Roman" w:hAnsi="Times New Roman" w:cs="Times New Roman"/>
          <w:sz w:val="24"/>
          <w:szCs w:val="24"/>
        </w:rPr>
        <w:t>. Centre on Regulation in Europe (CERRE</w:t>
      </w:r>
      <w:r>
        <w:rPr>
          <w:rFonts w:ascii="Times New Roman" w:hAnsi="Times New Roman" w:cs="Times New Roman"/>
          <w:sz w:val="24"/>
          <w:szCs w:val="24"/>
        </w:rPr>
        <w:t>).</w:t>
      </w:r>
    </w:p>
    <w:p w:rsidR="004D534D" w:rsidRDefault="004D534D" w:rsidP="001057DB">
      <w:pPr>
        <w:spacing w:after="200"/>
        <w:rPr>
          <w:rFonts w:ascii="Times New Roman" w:hAnsi="Times New Roman" w:cs="Times New Roman"/>
          <w:sz w:val="24"/>
          <w:szCs w:val="24"/>
        </w:rPr>
      </w:pPr>
      <w:r>
        <w:rPr>
          <w:rFonts w:ascii="Times New Roman" w:hAnsi="Times New Roman" w:cs="Times New Roman"/>
          <w:sz w:val="24"/>
          <w:szCs w:val="24"/>
        </w:rPr>
        <w:t xml:space="preserve">Cucurachi, </w:t>
      </w:r>
      <w:r w:rsidRPr="004D534D">
        <w:rPr>
          <w:rFonts w:ascii="Times New Roman" w:hAnsi="Times New Roman" w:cs="Times New Roman"/>
          <w:bCs/>
          <w:sz w:val="24"/>
          <w:szCs w:val="24"/>
          <w:lang w:val="nl-BE"/>
        </w:rPr>
        <w:t xml:space="preserve">S., Heijungs, R., Ohlau, K. (2012) </w:t>
      </w:r>
      <w:r w:rsidRPr="004D534D">
        <w:rPr>
          <w:rFonts w:ascii="Times New Roman" w:hAnsi="Times New Roman" w:cs="Times New Roman"/>
          <w:bCs/>
          <w:i/>
          <w:sz w:val="24"/>
          <w:szCs w:val="24"/>
          <w:lang w:val="nl-BE"/>
        </w:rPr>
        <w:t>Towards a general framework for including noise impacts in LCA</w:t>
      </w:r>
      <w:r w:rsidRPr="004D534D">
        <w:rPr>
          <w:rFonts w:ascii="Times New Roman" w:hAnsi="Times New Roman" w:cs="Times New Roman"/>
          <w:bCs/>
          <w:sz w:val="24"/>
          <w:szCs w:val="24"/>
          <w:lang w:val="nl-BE"/>
        </w:rPr>
        <w:t>. The International Journal of Life Cycle Assessment, Volume 17, pp 471-48</w:t>
      </w:r>
      <w:r>
        <w:rPr>
          <w:rFonts w:ascii="Times New Roman" w:hAnsi="Times New Roman" w:cs="Times New Roman"/>
          <w:bCs/>
          <w:sz w:val="24"/>
          <w:szCs w:val="24"/>
          <w:lang w:val="nl-BE"/>
        </w:rPr>
        <w:t>7.</w:t>
      </w:r>
    </w:p>
    <w:p w:rsidR="003F014F" w:rsidRDefault="00F05761" w:rsidP="001057DB">
      <w:pPr>
        <w:spacing w:after="200"/>
        <w:rPr>
          <w:rFonts w:ascii="Times New Roman" w:hAnsi="Times New Roman" w:cs="Times New Roman"/>
          <w:sz w:val="24"/>
          <w:szCs w:val="24"/>
        </w:rPr>
      </w:pPr>
      <w:r>
        <w:rPr>
          <w:rFonts w:ascii="Times New Roman" w:hAnsi="Times New Roman" w:cs="Times New Roman"/>
          <w:sz w:val="24"/>
          <w:szCs w:val="24"/>
        </w:rPr>
        <w:t xml:space="preserve">Demir, E., Huang, Y., Scholts, S., Van Woensel, T. (2015) </w:t>
      </w:r>
      <w:r w:rsidRPr="00F05761">
        <w:rPr>
          <w:rFonts w:ascii="Times New Roman" w:hAnsi="Times New Roman" w:cs="Times New Roman"/>
          <w:i/>
          <w:sz w:val="24"/>
          <w:szCs w:val="24"/>
        </w:rPr>
        <w:t>A selected review on the negative externalities of the freight transportation: Modelling and pricing</w:t>
      </w:r>
      <w:r>
        <w:rPr>
          <w:rFonts w:ascii="Times New Roman" w:hAnsi="Times New Roman" w:cs="Times New Roman"/>
          <w:sz w:val="24"/>
          <w:szCs w:val="24"/>
        </w:rPr>
        <w:t>. Transportation Research Part E: Logistics and Transportation Review, Volume 77, pp. 95-114.</w:t>
      </w:r>
    </w:p>
    <w:p w:rsidR="000E758C" w:rsidRPr="008471C7" w:rsidRDefault="000E758C" w:rsidP="001057DB">
      <w:pPr>
        <w:spacing w:after="200"/>
        <w:rPr>
          <w:rFonts w:ascii="Times New Roman" w:hAnsi="Times New Roman" w:cs="Times New Roman"/>
          <w:sz w:val="24"/>
          <w:szCs w:val="24"/>
        </w:rPr>
      </w:pPr>
      <w:r>
        <w:rPr>
          <w:rFonts w:ascii="Times New Roman" w:hAnsi="Times New Roman" w:cs="Times New Roman"/>
          <w:sz w:val="24"/>
          <w:szCs w:val="24"/>
        </w:rPr>
        <w:t xml:space="preserve">European Environment Agency (2008) </w:t>
      </w:r>
      <w:r w:rsidRPr="006F2C2D">
        <w:rPr>
          <w:rFonts w:ascii="Times New Roman" w:hAnsi="Times New Roman" w:cs="Times New Roman"/>
          <w:i/>
          <w:sz w:val="24"/>
          <w:szCs w:val="24"/>
        </w:rPr>
        <w:t>Climate for a transport change. TERM 2007: indicators tracking transport and environment in the European Union</w:t>
      </w:r>
      <w:r>
        <w:rPr>
          <w:rFonts w:ascii="Times New Roman" w:hAnsi="Times New Roman" w:cs="Times New Roman"/>
          <w:sz w:val="24"/>
          <w:szCs w:val="24"/>
        </w:rPr>
        <w:t>. Office for Official Publications of the European Communities, Luxembourg.</w:t>
      </w:r>
    </w:p>
    <w:p w:rsidR="00F05761" w:rsidRDefault="00F05761" w:rsidP="00F05761">
      <w:pPr>
        <w:spacing w:after="200"/>
        <w:rPr>
          <w:rFonts w:ascii="Times New Roman" w:hAnsi="Times New Roman" w:cs="Times New Roman"/>
          <w:sz w:val="24"/>
        </w:rPr>
      </w:pPr>
      <w:r>
        <w:rPr>
          <w:rFonts w:ascii="Times New Roman" w:hAnsi="Times New Roman" w:cs="Times New Roman"/>
          <w:sz w:val="24"/>
        </w:rPr>
        <w:t xml:space="preserve">EUROSTAT (2015) Eurostat Statistics, viewed March 24, 2015. </w:t>
      </w:r>
      <w:hyperlink r:id="rId10" w:history="1">
        <w:r w:rsidRPr="00AA098D">
          <w:rPr>
            <w:rStyle w:val="Hyperlink"/>
            <w:rFonts w:ascii="Times New Roman" w:hAnsi="Times New Roman" w:cs="Times New Roman"/>
            <w:sz w:val="24"/>
          </w:rPr>
          <w:t>http://ec.europa.eu/eurostat/data/database</w:t>
        </w:r>
      </w:hyperlink>
      <w:r>
        <w:rPr>
          <w:rFonts w:ascii="Times New Roman" w:hAnsi="Times New Roman" w:cs="Times New Roman"/>
          <w:sz w:val="24"/>
        </w:rPr>
        <w:t xml:space="preserve"> .</w:t>
      </w:r>
    </w:p>
    <w:p w:rsidR="00D57E72" w:rsidRDefault="00D57E72" w:rsidP="001057DB">
      <w:pPr>
        <w:spacing w:after="200"/>
        <w:rPr>
          <w:rFonts w:ascii="Times New Roman" w:hAnsi="Times New Roman" w:cs="Times New Roman"/>
          <w:bCs/>
          <w:sz w:val="24"/>
          <w:szCs w:val="24"/>
          <w:lang w:val="nl-BE"/>
        </w:rPr>
      </w:pPr>
      <w:r>
        <w:rPr>
          <w:rFonts w:ascii="Times New Roman" w:hAnsi="Times New Roman" w:cs="Times New Roman"/>
          <w:bCs/>
          <w:sz w:val="24"/>
          <w:szCs w:val="24"/>
        </w:rPr>
        <w:t xml:space="preserve">European </w:t>
      </w:r>
      <w:r w:rsidRPr="00D57E72">
        <w:rPr>
          <w:rFonts w:ascii="Times New Roman" w:hAnsi="Times New Roman" w:cs="Times New Roman"/>
          <w:bCs/>
          <w:sz w:val="24"/>
          <w:szCs w:val="24"/>
          <w:lang w:val="nl-BE"/>
        </w:rPr>
        <w:t>Commission - Joint Research Centre - Institute for Environment and Sustainability (2010</w:t>
      </w:r>
      <w:r w:rsidRPr="00D57E72">
        <w:rPr>
          <w:rFonts w:ascii="Times New Roman" w:hAnsi="Times New Roman" w:cs="Times New Roman"/>
          <w:bCs/>
          <w:i/>
          <w:sz w:val="24"/>
          <w:szCs w:val="24"/>
          <w:lang w:val="nl-BE"/>
        </w:rPr>
        <w:t>) International Reference Life Cycle Data System (ILCD) Handbook - General guide for Life Cycle Assessment - Detailed guidance</w:t>
      </w:r>
      <w:r w:rsidRPr="00D57E72">
        <w:rPr>
          <w:rFonts w:ascii="Times New Roman" w:hAnsi="Times New Roman" w:cs="Times New Roman"/>
          <w:bCs/>
          <w:sz w:val="24"/>
          <w:szCs w:val="24"/>
          <w:lang w:val="nl-BE"/>
        </w:rPr>
        <w:t>. First edition March 2010. EUR 24708 EN. Publications Office of the European Union</w:t>
      </w:r>
      <w:r>
        <w:rPr>
          <w:rFonts w:ascii="Times New Roman" w:hAnsi="Times New Roman" w:cs="Times New Roman"/>
          <w:bCs/>
          <w:sz w:val="24"/>
          <w:szCs w:val="24"/>
          <w:lang w:val="nl-BE"/>
        </w:rPr>
        <w:t>: Luxembourg.</w:t>
      </w:r>
    </w:p>
    <w:p w:rsidR="00D57E72" w:rsidRDefault="00D57E72" w:rsidP="001057DB">
      <w:pPr>
        <w:spacing w:after="200"/>
        <w:rPr>
          <w:rFonts w:ascii="Times New Roman" w:hAnsi="Times New Roman" w:cs="Times New Roman"/>
          <w:bCs/>
          <w:sz w:val="24"/>
          <w:szCs w:val="24"/>
        </w:rPr>
      </w:pPr>
      <w:r>
        <w:rPr>
          <w:rFonts w:ascii="Times New Roman" w:hAnsi="Times New Roman" w:cs="Times New Roman"/>
          <w:bCs/>
          <w:sz w:val="24"/>
          <w:szCs w:val="24"/>
          <w:lang w:val="nl-BE"/>
        </w:rPr>
        <w:t xml:space="preserve">European </w:t>
      </w:r>
      <w:r w:rsidRPr="00D57E72">
        <w:rPr>
          <w:rFonts w:ascii="Times New Roman" w:hAnsi="Times New Roman" w:cs="Times New Roman"/>
          <w:bCs/>
          <w:sz w:val="24"/>
          <w:szCs w:val="24"/>
          <w:lang w:val="nl-BE"/>
        </w:rPr>
        <w:t xml:space="preserve">Commission - Joint Research Centre - Institute for Environment and Sustainability (2011) International Reference Life Cycle Data System (ILCD) </w:t>
      </w:r>
      <w:r w:rsidRPr="00D57E72">
        <w:rPr>
          <w:rFonts w:ascii="Times New Roman" w:hAnsi="Times New Roman" w:cs="Times New Roman"/>
          <w:bCs/>
          <w:i/>
          <w:sz w:val="24"/>
          <w:szCs w:val="24"/>
          <w:lang w:val="nl-BE"/>
        </w:rPr>
        <w:t>Handbook- Recommendations for Life Cycle Impact Assessment in the European context</w:t>
      </w:r>
      <w:r w:rsidRPr="00D57E72">
        <w:rPr>
          <w:rFonts w:ascii="Times New Roman" w:hAnsi="Times New Roman" w:cs="Times New Roman"/>
          <w:bCs/>
          <w:sz w:val="24"/>
          <w:szCs w:val="24"/>
          <w:lang w:val="nl-BE"/>
        </w:rPr>
        <w:t>. First edition November 2011. EUR 24571 EN. Publications Office of the European Union:</w:t>
      </w:r>
      <w:r>
        <w:rPr>
          <w:rFonts w:ascii="Times New Roman" w:hAnsi="Times New Roman" w:cs="Times New Roman"/>
          <w:bCs/>
          <w:sz w:val="24"/>
          <w:szCs w:val="24"/>
          <w:lang w:val="nl-BE"/>
        </w:rPr>
        <w:t xml:space="preserve"> Luxembourg.</w:t>
      </w:r>
    </w:p>
    <w:p w:rsidR="006C178F" w:rsidRDefault="006C178F" w:rsidP="001057DB">
      <w:pPr>
        <w:spacing w:after="200"/>
        <w:rPr>
          <w:rFonts w:ascii="Times New Roman" w:hAnsi="Times New Roman" w:cs="Times New Roman"/>
          <w:sz w:val="24"/>
        </w:rPr>
      </w:pPr>
      <w:r w:rsidRPr="006C178F">
        <w:rPr>
          <w:rFonts w:ascii="Times New Roman" w:hAnsi="Times New Roman" w:cs="Times New Roman"/>
          <w:bCs/>
          <w:sz w:val="24"/>
          <w:szCs w:val="24"/>
        </w:rPr>
        <w:t>E</w:t>
      </w:r>
      <w:r w:rsidRPr="006C178F">
        <w:rPr>
          <w:rFonts w:ascii="Times New Roman" w:hAnsi="Times New Roman" w:cs="Times New Roman"/>
          <w:sz w:val="24"/>
        </w:rPr>
        <w:t xml:space="preserve">uropean Commission (2011) </w:t>
      </w:r>
      <w:r w:rsidRPr="006C178F">
        <w:rPr>
          <w:rFonts w:ascii="Times New Roman" w:hAnsi="Times New Roman" w:cs="Times New Roman"/>
          <w:i/>
          <w:sz w:val="24"/>
        </w:rPr>
        <w:t>White Paper on transport. Roadmap</w:t>
      </w:r>
      <w:r>
        <w:rPr>
          <w:rFonts w:ascii="Times New Roman" w:hAnsi="Times New Roman" w:cs="Times New Roman"/>
          <w:i/>
          <w:sz w:val="24"/>
        </w:rPr>
        <w:t xml:space="preserve"> to a single European </w:t>
      </w:r>
      <w:r w:rsidRPr="006C178F">
        <w:rPr>
          <w:rFonts w:ascii="Times New Roman" w:hAnsi="Times New Roman" w:cs="Times New Roman"/>
          <w:i/>
          <w:sz w:val="24"/>
        </w:rPr>
        <w:t>transport area – Towards a competitive and resource-efficient transport system</w:t>
      </w:r>
      <w:r w:rsidRPr="006C178F">
        <w:rPr>
          <w:rFonts w:ascii="Times New Roman" w:hAnsi="Times New Roman" w:cs="Times New Roman"/>
          <w:sz w:val="24"/>
        </w:rPr>
        <w:t>. Directorate-General for Mobility and Transpo</w:t>
      </w:r>
      <w:r>
        <w:rPr>
          <w:rFonts w:ascii="Times New Roman" w:hAnsi="Times New Roman" w:cs="Times New Roman"/>
          <w:sz w:val="24"/>
        </w:rPr>
        <w:t>rt.</w:t>
      </w:r>
    </w:p>
    <w:p w:rsidR="008471C7" w:rsidRDefault="008471C7" w:rsidP="001057DB">
      <w:pPr>
        <w:spacing w:after="200"/>
        <w:rPr>
          <w:rFonts w:ascii="Times New Roman" w:hAnsi="Times New Roman" w:cs="Times New Roman"/>
          <w:sz w:val="24"/>
        </w:rPr>
      </w:pPr>
      <w:r w:rsidRPr="00D200EA">
        <w:rPr>
          <w:rFonts w:ascii="Times New Roman" w:hAnsi="Times New Roman" w:cs="Times New Roman"/>
          <w:sz w:val="24"/>
        </w:rPr>
        <w:t xml:space="preserve">European Commission (2014) </w:t>
      </w:r>
      <w:r w:rsidRPr="00D200EA">
        <w:rPr>
          <w:rFonts w:ascii="Times New Roman" w:hAnsi="Times New Roman" w:cs="Times New Roman"/>
          <w:i/>
          <w:sz w:val="24"/>
        </w:rPr>
        <w:t>EU transport in figures</w:t>
      </w:r>
      <w:r w:rsidR="00374152" w:rsidRPr="00D200EA">
        <w:rPr>
          <w:rFonts w:ascii="Times New Roman" w:hAnsi="Times New Roman" w:cs="Times New Roman"/>
          <w:i/>
          <w:sz w:val="24"/>
        </w:rPr>
        <w:t xml:space="preserve">. </w:t>
      </w:r>
      <w:r w:rsidR="00374152" w:rsidRPr="00D867B8">
        <w:rPr>
          <w:rFonts w:ascii="Times New Roman" w:hAnsi="Times New Roman" w:cs="Times New Roman"/>
          <w:i/>
          <w:sz w:val="24"/>
        </w:rPr>
        <w:t>Statistical Pocketbook 2014</w:t>
      </w:r>
      <w:r w:rsidR="00374152" w:rsidRPr="00374152">
        <w:rPr>
          <w:rFonts w:ascii="Times New Roman" w:hAnsi="Times New Roman" w:cs="Times New Roman"/>
          <w:sz w:val="24"/>
        </w:rPr>
        <w:t>. Publications Office of the European Union, Luxemburg.</w:t>
      </w:r>
    </w:p>
    <w:p w:rsidR="00B82102" w:rsidRDefault="00B82102" w:rsidP="001057DB">
      <w:pPr>
        <w:spacing w:after="200"/>
        <w:rPr>
          <w:rFonts w:ascii="Times New Roman" w:hAnsi="Times New Roman" w:cs="Times New Roman"/>
          <w:sz w:val="24"/>
        </w:rPr>
      </w:pPr>
      <w:r>
        <w:rPr>
          <w:rFonts w:ascii="Times New Roman" w:hAnsi="Times New Roman" w:cs="Times New Roman"/>
          <w:sz w:val="24"/>
        </w:rPr>
        <w:t xml:space="preserve">European Commission (2014) </w:t>
      </w:r>
      <w:r w:rsidRPr="00B82102">
        <w:rPr>
          <w:rFonts w:ascii="Times New Roman" w:hAnsi="Times New Roman" w:cs="Times New Roman"/>
          <w:sz w:val="24"/>
        </w:rPr>
        <w:t xml:space="preserve">Infrastructure – TEN-T – Connecting Europe. Retrieved from </w:t>
      </w:r>
      <w:hyperlink r:id="rId11" w:history="1">
        <w:r w:rsidRPr="006F79EC">
          <w:rPr>
            <w:rStyle w:val="Hyperlink"/>
            <w:rFonts w:ascii="Times New Roman" w:hAnsi="Times New Roman" w:cs="Times New Roman"/>
            <w:sz w:val="24"/>
          </w:rPr>
          <w:t>http://ec.europa.eu/transport/themes/infrastructure/ten-t-guidelines/corridors/corridor-studies_en.htm</w:t>
        </w:r>
      </w:hyperlink>
      <w:r>
        <w:rPr>
          <w:rFonts w:ascii="Times New Roman" w:hAnsi="Times New Roman" w:cs="Times New Roman"/>
          <w:sz w:val="24"/>
        </w:rPr>
        <w:t xml:space="preserve"> </w:t>
      </w:r>
    </w:p>
    <w:p w:rsidR="00855A86" w:rsidRDefault="00855A86" w:rsidP="001057DB">
      <w:pPr>
        <w:spacing w:after="200"/>
        <w:rPr>
          <w:rFonts w:ascii="Times New Roman" w:hAnsi="Times New Roman" w:cs="Times New Roman"/>
          <w:sz w:val="24"/>
        </w:rPr>
      </w:pPr>
      <w:r>
        <w:rPr>
          <w:rFonts w:ascii="Times New Roman" w:hAnsi="Times New Roman" w:cs="Times New Roman"/>
          <w:sz w:val="24"/>
        </w:rPr>
        <w:t xml:space="preserve">European Parliament (2010) </w:t>
      </w:r>
      <w:r w:rsidRPr="00855A86">
        <w:rPr>
          <w:rFonts w:ascii="Times New Roman" w:hAnsi="Times New Roman" w:cs="Times New Roman"/>
          <w:i/>
          <w:sz w:val="24"/>
        </w:rPr>
        <w:t>The future of sustainable freight transport and logistic</w:t>
      </w:r>
      <w:r>
        <w:rPr>
          <w:rFonts w:ascii="Times New Roman" w:hAnsi="Times New Roman" w:cs="Times New Roman"/>
          <w:sz w:val="24"/>
        </w:rPr>
        <w:t xml:space="preserve">. Workshop “The future of transport”. Directorate-General for internal policies. Policy department B: Structural and cohesion policies. Transport and Tourism. </w:t>
      </w:r>
    </w:p>
    <w:p w:rsidR="00D87DF7" w:rsidRPr="00374152" w:rsidRDefault="00D87DF7" w:rsidP="001057DB">
      <w:pPr>
        <w:spacing w:after="200"/>
        <w:rPr>
          <w:rFonts w:ascii="Times New Roman" w:hAnsi="Times New Roman" w:cs="Times New Roman"/>
          <w:sz w:val="24"/>
        </w:rPr>
      </w:pPr>
      <w:r>
        <w:rPr>
          <w:rFonts w:ascii="Times New Roman" w:hAnsi="Times New Roman" w:cs="Times New Roman"/>
          <w:sz w:val="24"/>
        </w:rPr>
        <w:t xml:space="preserve">Facanha, C., Horvath, A. (2006) </w:t>
      </w:r>
      <w:r w:rsidRPr="0081141A">
        <w:rPr>
          <w:rFonts w:ascii="Times New Roman" w:hAnsi="Times New Roman" w:cs="Times New Roman"/>
          <w:i/>
          <w:sz w:val="24"/>
        </w:rPr>
        <w:t>Environmental assessment of freight transportation in the U.S</w:t>
      </w:r>
      <w:r>
        <w:rPr>
          <w:rFonts w:ascii="Times New Roman" w:hAnsi="Times New Roman" w:cs="Times New Roman"/>
          <w:sz w:val="24"/>
        </w:rPr>
        <w:t>. The International Journal of Life Cycle Assessment, Volume 11, Issue 4, pp. 229-239.</w:t>
      </w:r>
    </w:p>
    <w:p w:rsidR="005C70A0" w:rsidRDefault="005C70A0" w:rsidP="005C70A0">
      <w:pPr>
        <w:spacing w:after="200"/>
        <w:rPr>
          <w:rFonts w:ascii="Times New Roman" w:hAnsi="Times New Roman" w:cs="Times New Roman"/>
          <w:sz w:val="24"/>
        </w:rPr>
      </w:pPr>
      <w:r>
        <w:rPr>
          <w:rFonts w:ascii="Times New Roman" w:hAnsi="Times New Roman" w:cs="Times New Roman"/>
          <w:bCs/>
          <w:sz w:val="24"/>
          <w:szCs w:val="24"/>
        </w:rPr>
        <w:lastRenderedPageBreak/>
        <w:t>F</w:t>
      </w:r>
      <w:r>
        <w:rPr>
          <w:rFonts w:ascii="Times New Roman" w:hAnsi="Times New Roman" w:cs="Times New Roman"/>
          <w:bCs/>
          <w:sz w:val="24"/>
        </w:rPr>
        <w:t>ries, N., Hellweg, S.</w:t>
      </w:r>
      <w:r w:rsidRPr="006C178F">
        <w:rPr>
          <w:rFonts w:ascii="Times New Roman" w:hAnsi="Times New Roman" w:cs="Times New Roman"/>
          <w:bCs/>
          <w:sz w:val="24"/>
        </w:rPr>
        <w:t xml:space="preserve"> (2014) </w:t>
      </w:r>
      <w:r w:rsidRPr="006C178F">
        <w:rPr>
          <w:rFonts w:ascii="Times New Roman" w:hAnsi="Times New Roman" w:cs="Times New Roman"/>
          <w:bCs/>
          <w:i/>
          <w:sz w:val="24"/>
        </w:rPr>
        <w:t>LCA of land-based freight transportation: facilitating practical application and including accidents in LCIA</w:t>
      </w:r>
      <w:r w:rsidRPr="006C178F">
        <w:rPr>
          <w:rFonts w:ascii="Times New Roman" w:hAnsi="Times New Roman" w:cs="Times New Roman"/>
          <w:bCs/>
          <w:sz w:val="24"/>
        </w:rPr>
        <w:t xml:space="preserve">. </w:t>
      </w:r>
      <w:r w:rsidRPr="006C178F">
        <w:rPr>
          <w:rFonts w:ascii="Times New Roman" w:hAnsi="Times New Roman" w:cs="Times New Roman"/>
          <w:sz w:val="24"/>
        </w:rPr>
        <w:t xml:space="preserve">The International Journal of </w:t>
      </w:r>
      <w:r>
        <w:rPr>
          <w:rFonts w:ascii="Times New Roman" w:hAnsi="Times New Roman" w:cs="Times New Roman"/>
          <w:sz w:val="24"/>
        </w:rPr>
        <w:t>Life Cycle Assessment, Volume</w:t>
      </w:r>
      <w:r w:rsidRPr="006C178F">
        <w:rPr>
          <w:rFonts w:ascii="Times New Roman" w:hAnsi="Times New Roman" w:cs="Times New Roman"/>
          <w:sz w:val="24"/>
        </w:rPr>
        <w:t xml:space="preserve"> 19, pp</w:t>
      </w:r>
      <w:r w:rsidR="00D87DF7">
        <w:rPr>
          <w:rFonts w:ascii="Times New Roman" w:hAnsi="Times New Roman" w:cs="Times New Roman"/>
          <w:sz w:val="24"/>
        </w:rPr>
        <w:t>.</w:t>
      </w:r>
      <w:r w:rsidRPr="006C178F">
        <w:rPr>
          <w:rFonts w:ascii="Times New Roman" w:hAnsi="Times New Roman" w:cs="Times New Roman"/>
          <w:sz w:val="24"/>
        </w:rPr>
        <w:t xml:space="preserve"> 546-55</w:t>
      </w:r>
      <w:r>
        <w:rPr>
          <w:rFonts w:ascii="Times New Roman" w:hAnsi="Times New Roman" w:cs="Times New Roman"/>
          <w:sz w:val="24"/>
        </w:rPr>
        <w:t>7.</w:t>
      </w:r>
    </w:p>
    <w:p w:rsidR="006C178F" w:rsidRPr="00D200EA" w:rsidRDefault="006C178F" w:rsidP="001057DB">
      <w:pPr>
        <w:spacing w:after="200"/>
        <w:rPr>
          <w:rFonts w:ascii="Times New Roman" w:hAnsi="Times New Roman" w:cs="Times New Roman"/>
          <w:sz w:val="24"/>
          <w:lang w:val="fr-FR"/>
        </w:rPr>
      </w:pPr>
      <w:r>
        <w:rPr>
          <w:rFonts w:ascii="Times New Roman" w:hAnsi="Times New Roman" w:cs="Times New Roman"/>
          <w:sz w:val="24"/>
        </w:rPr>
        <w:t>Hend</w:t>
      </w:r>
      <w:r w:rsidRPr="006C178F">
        <w:rPr>
          <w:rFonts w:ascii="Times New Roman" w:hAnsi="Times New Roman" w:cs="Times New Roman"/>
          <w:sz w:val="24"/>
        </w:rPr>
        <w:t xml:space="preserve">rikson, C., Scott Matthews, H., Cicas, G. (2006) </w:t>
      </w:r>
      <w:r w:rsidRPr="006C178F">
        <w:rPr>
          <w:rFonts w:ascii="Times New Roman" w:hAnsi="Times New Roman" w:cs="Times New Roman"/>
          <w:i/>
          <w:sz w:val="24"/>
        </w:rPr>
        <w:t>Analysis of regional supply chain economic and environmental effects of expansion of the US freight rail system</w:t>
      </w:r>
      <w:r w:rsidRPr="006C178F">
        <w:rPr>
          <w:rFonts w:ascii="Times New Roman" w:hAnsi="Times New Roman" w:cs="Times New Roman"/>
          <w:sz w:val="24"/>
        </w:rPr>
        <w:t xml:space="preserve">. </w:t>
      </w:r>
      <w:r w:rsidRPr="00D200EA">
        <w:rPr>
          <w:rFonts w:ascii="Times New Roman" w:hAnsi="Times New Roman" w:cs="Times New Roman"/>
          <w:sz w:val="24"/>
          <w:lang w:val="fr-FR"/>
        </w:rPr>
        <w:t>Applications of Advanced Technology in Transportation, pp</w:t>
      </w:r>
      <w:r w:rsidR="00D87DF7" w:rsidRPr="00D200EA">
        <w:rPr>
          <w:rFonts w:ascii="Times New Roman" w:hAnsi="Times New Roman" w:cs="Times New Roman"/>
          <w:sz w:val="24"/>
          <w:lang w:val="fr-FR"/>
        </w:rPr>
        <w:t>.</w:t>
      </w:r>
      <w:r w:rsidRPr="00D200EA">
        <w:rPr>
          <w:rFonts w:ascii="Times New Roman" w:hAnsi="Times New Roman" w:cs="Times New Roman"/>
          <w:sz w:val="24"/>
          <w:lang w:val="fr-FR"/>
        </w:rPr>
        <w:t xml:space="preserve"> 768-773.</w:t>
      </w:r>
    </w:p>
    <w:p w:rsidR="00D57E72" w:rsidRPr="00D57E72" w:rsidRDefault="00D57E72" w:rsidP="001057DB">
      <w:pPr>
        <w:spacing w:after="200"/>
        <w:rPr>
          <w:rFonts w:ascii="Times New Roman" w:hAnsi="Times New Roman" w:cs="Times New Roman"/>
          <w:sz w:val="24"/>
          <w:lang w:val="fr-FR"/>
        </w:rPr>
      </w:pPr>
      <w:r w:rsidRPr="00D57E72">
        <w:rPr>
          <w:rFonts w:ascii="Times New Roman" w:hAnsi="Times New Roman" w:cs="Times New Roman"/>
          <w:sz w:val="24"/>
          <w:lang w:val="fr-FR"/>
        </w:rPr>
        <w:t>International</w:t>
      </w:r>
      <w:r w:rsidRPr="00D57E72">
        <w:rPr>
          <w:rFonts w:ascii="Calibri" w:eastAsia="Calibri" w:hAnsi="Calibri" w:cs="Times New Roman"/>
          <w:lang w:val="fr-FR" w:eastAsia="nl-BE"/>
        </w:rPr>
        <w:t xml:space="preserve"> </w:t>
      </w:r>
      <w:r w:rsidRPr="00D57E72">
        <w:rPr>
          <w:rFonts w:ascii="Times New Roman" w:hAnsi="Times New Roman" w:cs="Times New Roman"/>
          <w:sz w:val="24"/>
          <w:lang w:val="fr-FR"/>
        </w:rPr>
        <w:t xml:space="preserve">Standardization Organization (2006) </w:t>
      </w:r>
      <w:r w:rsidRPr="00D57E72">
        <w:rPr>
          <w:rFonts w:ascii="Times New Roman" w:hAnsi="Times New Roman" w:cs="Times New Roman"/>
          <w:i/>
          <w:sz w:val="24"/>
          <w:lang w:val="fr-FR"/>
        </w:rPr>
        <w:t>ISO 14040: Management environnemental - Analyse du cycle de vie - Principes et cadre</w:t>
      </w:r>
      <w:r>
        <w:rPr>
          <w:rFonts w:ascii="Times New Roman" w:hAnsi="Times New Roman" w:cs="Times New Roman"/>
          <w:sz w:val="24"/>
          <w:lang w:val="fr-FR"/>
        </w:rPr>
        <w:t>. ISO.</w:t>
      </w:r>
    </w:p>
    <w:p w:rsidR="00D57E72" w:rsidRPr="00D200EA" w:rsidRDefault="00D57E72" w:rsidP="001057DB">
      <w:pPr>
        <w:spacing w:after="200"/>
        <w:rPr>
          <w:rFonts w:ascii="Times New Roman" w:hAnsi="Times New Roman" w:cs="Times New Roman"/>
          <w:sz w:val="24"/>
        </w:rPr>
      </w:pPr>
      <w:r w:rsidRPr="00D57E72">
        <w:rPr>
          <w:rFonts w:ascii="Times New Roman" w:hAnsi="Times New Roman" w:cs="Times New Roman"/>
          <w:sz w:val="24"/>
          <w:lang w:val="fr-FR"/>
        </w:rPr>
        <w:t>International</w:t>
      </w:r>
      <w:r>
        <w:rPr>
          <w:rFonts w:ascii="Times New Roman" w:hAnsi="Times New Roman" w:cs="Times New Roman"/>
          <w:sz w:val="24"/>
          <w:lang w:val="fr-FR"/>
        </w:rPr>
        <w:t xml:space="preserve"> </w:t>
      </w:r>
      <w:r w:rsidRPr="00D57E72">
        <w:rPr>
          <w:rFonts w:ascii="Times New Roman" w:hAnsi="Times New Roman" w:cs="Times New Roman"/>
          <w:sz w:val="24"/>
          <w:lang w:val="nl-BE"/>
        </w:rPr>
        <w:t xml:space="preserve">Standardization Organization (2006) </w:t>
      </w:r>
      <w:r w:rsidRPr="00D57E72">
        <w:rPr>
          <w:rFonts w:ascii="Times New Roman" w:hAnsi="Times New Roman" w:cs="Times New Roman"/>
          <w:i/>
          <w:sz w:val="24"/>
          <w:lang w:val="nl-BE"/>
        </w:rPr>
        <w:t>ISO 14044: Management environnemental - Analyse du cycle de vie - Exigences et lignes directrices</w:t>
      </w:r>
      <w:r>
        <w:rPr>
          <w:rFonts w:ascii="Times New Roman" w:hAnsi="Times New Roman" w:cs="Times New Roman"/>
          <w:sz w:val="24"/>
          <w:lang w:val="nl-BE"/>
        </w:rPr>
        <w:t>. ISO.</w:t>
      </w:r>
    </w:p>
    <w:p w:rsidR="004D534D" w:rsidRDefault="004D534D" w:rsidP="001057DB">
      <w:pPr>
        <w:spacing w:after="200"/>
        <w:rPr>
          <w:rFonts w:ascii="Times New Roman" w:hAnsi="Times New Roman" w:cs="Times New Roman"/>
          <w:sz w:val="24"/>
        </w:rPr>
      </w:pPr>
      <w:r>
        <w:rPr>
          <w:rFonts w:ascii="Times New Roman" w:hAnsi="Times New Roman" w:cs="Times New Roman"/>
          <w:sz w:val="24"/>
        </w:rPr>
        <w:t>Koellner</w:t>
      </w:r>
      <w:r w:rsidR="005C70A0">
        <w:rPr>
          <w:rFonts w:ascii="Times New Roman" w:hAnsi="Times New Roman" w:cs="Times New Roman"/>
          <w:sz w:val="24"/>
        </w:rPr>
        <w:t>,</w:t>
      </w:r>
      <w:r>
        <w:rPr>
          <w:rFonts w:ascii="Times New Roman" w:hAnsi="Times New Roman" w:cs="Times New Roman"/>
          <w:sz w:val="24"/>
        </w:rPr>
        <w:t xml:space="preserve"> </w:t>
      </w:r>
      <w:r w:rsidRPr="004D534D">
        <w:rPr>
          <w:rFonts w:ascii="Times New Roman" w:hAnsi="Times New Roman" w:cs="Times New Roman"/>
          <w:bCs/>
          <w:sz w:val="24"/>
          <w:szCs w:val="24"/>
          <w:lang w:val="nl-BE"/>
        </w:rPr>
        <w:t xml:space="preserve">T., de Baan, L., Brandão, M., Milà i Canals, </w:t>
      </w:r>
      <w:r w:rsidR="005C70A0">
        <w:rPr>
          <w:rFonts w:ascii="Times New Roman" w:hAnsi="Times New Roman" w:cs="Times New Roman"/>
          <w:bCs/>
          <w:sz w:val="24"/>
          <w:szCs w:val="24"/>
          <w:lang w:val="nl-BE"/>
        </w:rPr>
        <w:t>L., Civit, B., Margni, M., Saad</w:t>
      </w:r>
      <w:r w:rsidRPr="004D534D">
        <w:rPr>
          <w:rFonts w:ascii="Times New Roman" w:hAnsi="Times New Roman" w:cs="Times New Roman"/>
          <w:bCs/>
          <w:sz w:val="24"/>
          <w:szCs w:val="24"/>
          <w:lang w:val="nl-BE"/>
        </w:rPr>
        <w:t xml:space="preserve">, R., Maia de Souza, D., Beck, T., Müller-Wenk, R. (2013) </w:t>
      </w:r>
      <w:r w:rsidRPr="005C70A0">
        <w:rPr>
          <w:rFonts w:ascii="Times New Roman" w:hAnsi="Times New Roman" w:cs="Times New Roman"/>
          <w:bCs/>
          <w:i/>
          <w:sz w:val="24"/>
          <w:szCs w:val="24"/>
          <w:lang w:val="nl-BE"/>
        </w:rPr>
        <w:t>UNEP-SETAC guideline on global land use impact assessment on biodiversity and ecosystem services in LCA</w:t>
      </w:r>
      <w:r w:rsidRPr="004D534D">
        <w:rPr>
          <w:rFonts w:ascii="Times New Roman" w:hAnsi="Times New Roman" w:cs="Times New Roman"/>
          <w:bCs/>
          <w:sz w:val="24"/>
          <w:szCs w:val="24"/>
          <w:lang w:val="nl-BE"/>
        </w:rPr>
        <w:t>. The International Journal of Life Cycle Assessment, Volume 18, Issue 6, pp</w:t>
      </w:r>
      <w:r w:rsidR="00D87DF7">
        <w:rPr>
          <w:rFonts w:ascii="Times New Roman" w:hAnsi="Times New Roman" w:cs="Times New Roman"/>
          <w:bCs/>
          <w:sz w:val="24"/>
          <w:szCs w:val="24"/>
          <w:lang w:val="nl-BE"/>
        </w:rPr>
        <w:t>.</w:t>
      </w:r>
      <w:r w:rsidRPr="004D534D">
        <w:rPr>
          <w:rFonts w:ascii="Times New Roman" w:hAnsi="Times New Roman" w:cs="Times New Roman"/>
          <w:bCs/>
          <w:sz w:val="24"/>
          <w:szCs w:val="24"/>
          <w:lang w:val="nl-BE"/>
        </w:rPr>
        <w:t xml:space="preserve"> 1188-120</w:t>
      </w:r>
      <w:r w:rsidR="005C70A0">
        <w:rPr>
          <w:rFonts w:ascii="Times New Roman" w:hAnsi="Times New Roman" w:cs="Times New Roman"/>
          <w:bCs/>
          <w:sz w:val="24"/>
          <w:szCs w:val="24"/>
          <w:lang w:val="nl-BE"/>
        </w:rPr>
        <w:t>2.</w:t>
      </w:r>
    </w:p>
    <w:p w:rsidR="00471BEC" w:rsidRDefault="00471BEC" w:rsidP="001057DB">
      <w:pPr>
        <w:spacing w:after="200"/>
        <w:rPr>
          <w:rFonts w:ascii="Times New Roman" w:hAnsi="Times New Roman" w:cs="Times New Roman"/>
          <w:sz w:val="24"/>
        </w:rPr>
      </w:pPr>
      <w:r>
        <w:rPr>
          <w:rFonts w:ascii="Times New Roman" w:hAnsi="Times New Roman" w:cs="Times New Roman"/>
          <w:sz w:val="24"/>
        </w:rPr>
        <w:t xml:space="preserve">Lammgård, C. (2012) </w:t>
      </w:r>
      <w:r w:rsidRPr="003F0274">
        <w:rPr>
          <w:rFonts w:ascii="Times New Roman" w:hAnsi="Times New Roman" w:cs="Times New Roman"/>
          <w:i/>
          <w:sz w:val="24"/>
        </w:rPr>
        <w:t>Intermodal train services: A business challenge and a measure for decarbonisation for logistic service providers</w:t>
      </w:r>
      <w:r w:rsidRPr="003F0274">
        <w:rPr>
          <w:rFonts w:ascii="Times New Roman" w:hAnsi="Times New Roman" w:cs="Times New Roman"/>
          <w:sz w:val="24"/>
        </w:rPr>
        <w:t>.</w:t>
      </w:r>
      <w:r>
        <w:rPr>
          <w:rFonts w:ascii="Times New Roman" w:hAnsi="Times New Roman" w:cs="Times New Roman"/>
          <w:sz w:val="24"/>
        </w:rPr>
        <w:t xml:space="preserve"> </w:t>
      </w:r>
      <w:r w:rsidR="003F0274">
        <w:rPr>
          <w:rFonts w:ascii="Times New Roman" w:hAnsi="Times New Roman" w:cs="Times New Roman"/>
          <w:sz w:val="24"/>
        </w:rPr>
        <w:t>Research in Transportation Business &amp; Management, Volume 5, pp</w:t>
      </w:r>
      <w:r w:rsidR="00D87DF7">
        <w:rPr>
          <w:rFonts w:ascii="Times New Roman" w:hAnsi="Times New Roman" w:cs="Times New Roman"/>
          <w:sz w:val="24"/>
        </w:rPr>
        <w:t>.</w:t>
      </w:r>
      <w:r w:rsidR="003F0274">
        <w:rPr>
          <w:rFonts w:ascii="Times New Roman" w:hAnsi="Times New Roman" w:cs="Times New Roman"/>
          <w:sz w:val="24"/>
        </w:rPr>
        <w:t xml:space="preserve"> 48-56.</w:t>
      </w:r>
    </w:p>
    <w:p w:rsidR="001E002D" w:rsidRDefault="001E002D" w:rsidP="001057DB">
      <w:pPr>
        <w:spacing w:after="200"/>
        <w:rPr>
          <w:rFonts w:ascii="Times New Roman" w:hAnsi="Times New Roman" w:cs="Times New Roman"/>
          <w:sz w:val="24"/>
        </w:rPr>
      </w:pPr>
      <w:r>
        <w:rPr>
          <w:rFonts w:ascii="Times New Roman" w:hAnsi="Times New Roman" w:cs="Times New Roman"/>
          <w:sz w:val="24"/>
        </w:rPr>
        <w:t xml:space="preserve">Mckinnon, A., Browne, M., Whiteing, A., Piecyk, M. (2015) </w:t>
      </w:r>
      <w:r w:rsidRPr="001E002D">
        <w:rPr>
          <w:rFonts w:ascii="Times New Roman" w:hAnsi="Times New Roman" w:cs="Times New Roman"/>
          <w:i/>
          <w:sz w:val="24"/>
        </w:rPr>
        <w:t>Green logistics: improving the environmental sustainability of logistics</w:t>
      </w:r>
      <w:r>
        <w:rPr>
          <w:rFonts w:ascii="Times New Roman" w:hAnsi="Times New Roman" w:cs="Times New Roman"/>
          <w:sz w:val="24"/>
        </w:rPr>
        <w:t>. The Chartered Institute of Logistics and Transport. Kogan Page.</w:t>
      </w:r>
    </w:p>
    <w:p w:rsidR="006730B6" w:rsidRPr="006730B6" w:rsidRDefault="00237617" w:rsidP="001057DB">
      <w:pPr>
        <w:spacing w:after="200"/>
        <w:rPr>
          <w:rFonts w:ascii="Times New Roman" w:hAnsi="Times New Roman" w:cs="Times New Roman"/>
          <w:sz w:val="24"/>
        </w:rPr>
      </w:pPr>
      <w:r>
        <w:rPr>
          <w:rFonts w:ascii="Times New Roman" w:hAnsi="Times New Roman" w:cs="Times New Roman"/>
          <w:sz w:val="24"/>
        </w:rPr>
        <w:t>Reis, V., Meier, J.</w:t>
      </w:r>
      <w:r w:rsidR="006730B6" w:rsidRPr="006730B6">
        <w:rPr>
          <w:rFonts w:ascii="Times New Roman" w:hAnsi="Times New Roman" w:cs="Times New Roman"/>
          <w:sz w:val="24"/>
        </w:rPr>
        <w:t xml:space="preserve">F., Pace, G., Palacin, R. (2013) </w:t>
      </w:r>
      <w:r w:rsidR="006730B6" w:rsidRPr="006115CD">
        <w:rPr>
          <w:rFonts w:ascii="Times New Roman" w:hAnsi="Times New Roman" w:cs="Times New Roman"/>
          <w:i/>
          <w:sz w:val="24"/>
        </w:rPr>
        <w:t>Rail and multi-modal transport</w:t>
      </w:r>
      <w:r w:rsidR="006730B6" w:rsidRPr="006730B6">
        <w:rPr>
          <w:rFonts w:ascii="Times New Roman" w:hAnsi="Times New Roman" w:cs="Times New Roman"/>
          <w:sz w:val="24"/>
        </w:rPr>
        <w:t>. Research in Transportation Economics, Volume 4</w:t>
      </w:r>
      <w:r w:rsidR="006115CD">
        <w:rPr>
          <w:rFonts w:ascii="Times New Roman" w:hAnsi="Times New Roman" w:cs="Times New Roman"/>
          <w:sz w:val="24"/>
        </w:rPr>
        <w:t>1</w:t>
      </w:r>
      <w:r w:rsidR="006730B6" w:rsidRPr="006730B6">
        <w:rPr>
          <w:rFonts w:ascii="Times New Roman" w:hAnsi="Times New Roman" w:cs="Times New Roman"/>
          <w:sz w:val="24"/>
        </w:rPr>
        <w:t xml:space="preserve">, pp. </w:t>
      </w:r>
      <w:r w:rsidR="006115CD">
        <w:rPr>
          <w:rFonts w:ascii="Times New Roman" w:hAnsi="Times New Roman" w:cs="Times New Roman"/>
          <w:sz w:val="24"/>
        </w:rPr>
        <w:t>17-30.</w:t>
      </w:r>
    </w:p>
    <w:p w:rsidR="009264DC" w:rsidRDefault="00384F49" w:rsidP="001057DB">
      <w:pPr>
        <w:spacing w:after="200"/>
        <w:rPr>
          <w:rFonts w:ascii="Times New Roman" w:hAnsi="Times New Roman" w:cs="Times New Roman"/>
          <w:sz w:val="24"/>
        </w:rPr>
      </w:pPr>
      <w:r>
        <w:rPr>
          <w:rFonts w:ascii="Times New Roman" w:hAnsi="Times New Roman" w:cs="Times New Roman"/>
          <w:sz w:val="24"/>
        </w:rPr>
        <w:t xml:space="preserve">RICARDO </w:t>
      </w:r>
      <w:r w:rsidR="009264DC">
        <w:rPr>
          <w:rFonts w:ascii="Times New Roman" w:hAnsi="Times New Roman" w:cs="Times New Roman"/>
          <w:sz w:val="24"/>
        </w:rPr>
        <w:t xml:space="preserve">AEA </w:t>
      </w:r>
      <w:r w:rsidR="009264DC" w:rsidRPr="009264DC">
        <w:rPr>
          <w:rFonts w:ascii="Times New Roman" w:hAnsi="Times New Roman" w:cs="Times New Roman"/>
          <w:sz w:val="24"/>
          <w:lang w:val="nl-BE"/>
        </w:rPr>
        <w:t xml:space="preserve">(2014) </w:t>
      </w:r>
      <w:r w:rsidR="009264DC" w:rsidRPr="00410BC1">
        <w:rPr>
          <w:rFonts w:ascii="Times New Roman" w:hAnsi="Times New Roman" w:cs="Times New Roman"/>
          <w:i/>
          <w:sz w:val="24"/>
          <w:lang w:val="nl-BE"/>
        </w:rPr>
        <w:t>Update of the Handbook on External Costs of Transport. Final Report</w:t>
      </w:r>
      <w:r w:rsidR="009264DC" w:rsidRPr="009264DC">
        <w:rPr>
          <w:rFonts w:ascii="Times New Roman" w:hAnsi="Times New Roman" w:cs="Times New Roman"/>
          <w:sz w:val="24"/>
          <w:lang w:val="nl-BE"/>
        </w:rPr>
        <w:t>. Report for the European Commission: DG Mobility and</w:t>
      </w:r>
      <w:r w:rsidR="009264DC">
        <w:rPr>
          <w:rFonts w:ascii="Times New Roman" w:hAnsi="Times New Roman" w:cs="Times New Roman"/>
          <w:sz w:val="24"/>
          <w:lang w:val="nl-BE"/>
        </w:rPr>
        <w:t xml:space="preserve"> and Transport.</w:t>
      </w:r>
    </w:p>
    <w:p w:rsidR="006C178F" w:rsidRDefault="008471C7" w:rsidP="001057DB">
      <w:pPr>
        <w:spacing w:after="200"/>
        <w:rPr>
          <w:rFonts w:ascii="Times New Roman" w:hAnsi="Times New Roman" w:cs="Times New Roman"/>
          <w:sz w:val="24"/>
        </w:rPr>
      </w:pPr>
      <w:r>
        <w:rPr>
          <w:rFonts w:ascii="Times New Roman" w:hAnsi="Times New Roman" w:cs="Times New Roman"/>
          <w:bCs/>
          <w:sz w:val="24"/>
          <w:szCs w:val="24"/>
        </w:rPr>
        <w:t>S</w:t>
      </w:r>
      <w:r w:rsidRPr="006C178F">
        <w:rPr>
          <w:rFonts w:ascii="Times New Roman" w:hAnsi="Times New Roman" w:cs="Times New Roman"/>
          <w:sz w:val="24"/>
        </w:rPr>
        <w:t>pielmann</w:t>
      </w:r>
      <w:r w:rsidR="00F05761">
        <w:rPr>
          <w:rFonts w:ascii="Times New Roman" w:hAnsi="Times New Roman" w:cs="Times New Roman"/>
          <w:sz w:val="24"/>
        </w:rPr>
        <w:t>, M., Scholz, R.W.</w:t>
      </w:r>
      <w:r w:rsidRPr="006C178F">
        <w:rPr>
          <w:rFonts w:ascii="Times New Roman" w:hAnsi="Times New Roman" w:cs="Times New Roman"/>
          <w:sz w:val="24"/>
        </w:rPr>
        <w:t xml:space="preserve"> (2005) </w:t>
      </w:r>
      <w:r w:rsidRPr="006C178F">
        <w:rPr>
          <w:rFonts w:ascii="Times New Roman" w:hAnsi="Times New Roman" w:cs="Times New Roman"/>
          <w:i/>
          <w:sz w:val="24"/>
        </w:rPr>
        <w:t>Life Cycle Inventories of Transport Services. Background data for freight transport</w:t>
      </w:r>
      <w:r w:rsidRPr="006C178F">
        <w:rPr>
          <w:rFonts w:ascii="Times New Roman" w:hAnsi="Times New Roman" w:cs="Times New Roman"/>
          <w:sz w:val="24"/>
        </w:rPr>
        <w:t>. The International Journal of Life Cycle Assessment, Volume 10, Issue 1, pp</w:t>
      </w:r>
      <w:r w:rsidR="00D87DF7">
        <w:rPr>
          <w:rFonts w:ascii="Times New Roman" w:hAnsi="Times New Roman" w:cs="Times New Roman"/>
          <w:sz w:val="24"/>
        </w:rPr>
        <w:t>.</w:t>
      </w:r>
      <w:r w:rsidRPr="006C178F">
        <w:rPr>
          <w:rFonts w:ascii="Times New Roman" w:hAnsi="Times New Roman" w:cs="Times New Roman"/>
          <w:sz w:val="24"/>
        </w:rPr>
        <w:t xml:space="preserve"> 85-9</w:t>
      </w:r>
      <w:r>
        <w:rPr>
          <w:rFonts w:ascii="Times New Roman" w:hAnsi="Times New Roman" w:cs="Times New Roman"/>
          <w:sz w:val="24"/>
        </w:rPr>
        <w:t>4.</w:t>
      </w:r>
    </w:p>
    <w:p w:rsidR="008471C7" w:rsidRDefault="008471C7" w:rsidP="001057DB">
      <w:pPr>
        <w:spacing w:after="200"/>
        <w:rPr>
          <w:rFonts w:ascii="Times New Roman" w:hAnsi="Times New Roman" w:cs="Times New Roman"/>
          <w:sz w:val="24"/>
        </w:rPr>
      </w:pPr>
      <w:r>
        <w:rPr>
          <w:rFonts w:ascii="Times New Roman" w:hAnsi="Times New Roman" w:cs="Times New Roman"/>
          <w:bCs/>
          <w:sz w:val="24"/>
          <w:szCs w:val="24"/>
        </w:rPr>
        <w:t>S</w:t>
      </w:r>
      <w:r w:rsidRPr="006C178F">
        <w:rPr>
          <w:rFonts w:ascii="Times New Roman" w:hAnsi="Times New Roman" w:cs="Times New Roman"/>
          <w:sz w:val="24"/>
        </w:rPr>
        <w:t xml:space="preserve">pielmann, M., Bauer, C., Dones, R., Tuchschmid, M. (2007) </w:t>
      </w:r>
      <w:r w:rsidRPr="006C178F">
        <w:rPr>
          <w:rFonts w:ascii="Times New Roman" w:hAnsi="Times New Roman" w:cs="Times New Roman"/>
          <w:i/>
          <w:sz w:val="24"/>
        </w:rPr>
        <w:t>Transport Services. Ecoinvent report No. 14</w:t>
      </w:r>
      <w:r w:rsidRPr="006C178F">
        <w:rPr>
          <w:rFonts w:ascii="Times New Roman" w:hAnsi="Times New Roman" w:cs="Times New Roman"/>
          <w:sz w:val="24"/>
        </w:rPr>
        <w:t>. Swiss Centre for Life Cycle Inventories, Dübendorf, 200</w:t>
      </w:r>
      <w:r>
        <w:rPr>
          <w:rFonts w:ascii="Times New Roman" w:hAnsi="Times New Roman" w:cs="Times New Roman"/>
          <w:sz w:val="24"/>
        </w:rPr>
        <w:t>7.</w:t>
      </w:r>
    </w:p>
    <w:p w:rsidR="00706B2C" w:rsidRDefault="00706B2C" w:rsidP="001057DB">
      <w:pPr>
        <w:spacing w:after="200"/>
        <w:rPr>
          <w:rFonts w:ascii="Times New Roman" w:hAnsi="Times New Roman" w:cs="Times New Roman"/>
          <w:sz w:val="24"/>
        </w:rPr>
      </w:pPr>
      <w:r>
        <w:rPr>
          <w:rFonts w:ascii="Times New Roman" w:hAnsi="Times New Roman" w:cs="Times New Roman"/>
          <w:sz w:val="24"/>
        </w:rPr>
        <w:t xml:space="preserve">Stripple, H., Uppenberg, S. (2010) Life </w:t>
      </w:r>
      <w:r w:rsidRPr="00706B2C">
        <w:rPr>
          <w:rFonts w:ascii="Times New Roman" w:hAnsi="Times New Roman" w:cs="Times New Roman"/>
          <w:i/>
          <w:sz w:val="24"/>
        </w:rPr>
        <w:t>cycle assessment of railways and rail transports – Application in environmental product declarations (EPDs) for the Bothnia Line</w:t>
      </w:r>
      <w:r w:rsidRPr="00706B2C">
        <w:rPr>
          <w:rFonts w:ascii="Times New Roman" w:hAnsi="Times New Roman" w:cs="Times New Roman"/>
          <w:sz w:val="24"/>
        </w:rPr>
        <w:t>. IVL Swedish Environmental Research</w:t>
      </w:r>
      <w:r>
        <w:rPr>
          <w:rFonts w:ascii="Times New Roman" w:hAnsi="Times New Roman" w:cs="Times New Roman"/>
          <w:sz w:val="24"/>
        </w:rPr>
        <w:t xml:space="preserve"> Institute.</w:t>
      </w:r>
    </w:p>
    <w:p w:rsidR="00410BC1" w:rsidRDefault="00410BC1" w:rsidP="001057DB">
      <w:pPr>
        <w:spacing w:after="200"/>
        <w:rPr>
          <w:rFonts w:ascii="Times New Roman" w:hAnsi="Times New Roman" w:cs="Times New Roman"/>
          <w:sz w:val="24"/>
          <w:lang w:val="nl-BE"/>
        </w:rPr>
      </w:pPr>
      <w:r>
        <w:rPr>
          <w:rFonts w:ascii="Times New Roman" w:hAnsi="Times New Roman" w:cs="Times New Roman"/>
          <w:sz w:val="24"/>
        </w:rPr>
        <w:t xml:space="preserve">The </w:t>
      </w:r>
      <w:r w:rsidRPr="00410BC1">
        <w:rPr>
          <w:rFonts w:ascii="Times New Roman" w:hAnsi="Times New Roman" w:cs="Times New Roman"/>
          <w:sz w:val="24"/>
          <w:lang w:val="nl-BE"/>
        </w:rPr>
        <w:t xml:space="preserve">International EPD® System (2014) </w:t>
      </w:r>
      <w:r w:rsidRPr="00410BC1">
        <w:rPr>
          <w:rFonts w:ascii="Times New Roman" w:hAnsi="Times New Roman" w:cs="Times New Roman"/>
          <w:i/>
          <w:sz w:val="24"/>
          <w:lang w:val="nl-BE"/>
        </w:rPr>
        <w:t>Product Category Rules (PCR) 2013:19 Version 1.03 for railways UN CPC 53212</w:t>
      </w:r>
      <w:r w:rsidRPr="00410BC1">
        <w:rPr>
          <w:rFonts w:ascii="Times New Roman" w:hAnsi="Times New Roman" w:cs="Times New Roman"/>
          <w:sz w:val="24"/>
          <w:lang w:val="nl-BE"/>
        </w:rPr>
        <w:t>. Valid until 2016-12</w:t>
      </w:r>
      <w:r>
        <w:rPr>
          <w:rFonts w:ascii="Times New Roman" w:hAnsi="Times New Roman" w:cs="Times New Roman"/>
          <w:sz w:val="24"/>
          <w:lang w:val="nl-BE"/>
        </w:rPr>
        <w:t>-13.</w:t>
      </w:r>
    </w:p>
    <w:p w:rsidR="00706B2C" w:rsidRDefault="00706B2C" w:rsidP="001057DB">
      <w:pPr>
        <w:spacing w:after="200"/>
        <w:rPr>
          <w:rFonts w:ascii="Times New Roman" w:hAnsi="Times New Roman" w:cs="Times New Roman"/>
          <w:sz w:val="24"/>
        </w:rPr>
      </w:pPr>
      <w:r>
        <w:rPr>
          <w:rFonts w:ascii="Times New Roman" w:hAnsi="Times New Roman" w:cs="Times New Roman"/>
          <w:sz w:val="24"/>
          <w:lang w:val="nl-BE"/>
        </w:rPr>
        <w:lastRenderedPageBreak/>
        <w:t xml:space="preserve">The </w:t>
      </w:r>
      <w:r w:rsidRPr="00706B2C">
        <w:rPr>
          <w:rFonts w:ascii="Times New Roman" w:hAnsi="Times New Roman" w:cs="Times New Roman"/>
          <w:sz w:val="24"/>
        </w:rPr>
        <w:t xml:space="preserve">SMARTrail Consortium (2014) SMARTrail – </w:t>
      </w:r>
      <w:r w:rsidRPr="00706B2C">
        <w:rPr>
          <w:rFonts w:ascii="Times New Roman" w:hAnsi="Times New Roman" w:cs="Times New Roman"/>
          <w:i/>
          <w:sz w:val="24"/>
        </w:rPr>
        <w:t>Deliverable 4.3 Report on LCA and WLC models for aging rail networks</w:t>
      </w:r>
      <w:r w:rsidRPr="00706B2C">
        <w:rPr>
          <w:rFonts w:ascii="Times New Roman" w:hAnsi="Times New Roman" w:cs="Times New Roman"/>
          <w:sz w:val="24"/>
        </w:rPr>
        <w:t>. EU 7</w:t>
      </w:r>
      <w:r w:rsidRPr="00706B2C">
        <w:rPr>
          <w:rFonts w:ascii="Times New Roman" w:hAnsi="Times New Roman" w:cs="Times New Roman"/>
          <w:sz w:val="24"/>
          <w:vertAlign w:val="superscript"/>
        </w:rPr>
        <w:t>th</w:t>
      </w:r>
      <w:r w:rsidRPr="00706B2C">
        <w:rPr>
          <w:rFonts w:ascii="Times New Roman" w:hAnsi="Times New Roman" w:cs="Times New Roman"/>
          <w:sz w:val="24"/>
        </w:rPr>
        <w:t xml:space="preserve"> Framework Programme under call SST.2011.5.2-6 cost-effective improvement of rail transport, infrastructure. Grant agreement no: 28</w:t>
      </w:r>
      <w:r>
        <w:rPr>
          <w:rFonts w:ascii="Times New Roman" w:hAnsi="Times New Roman" w:cs="Times New Roman"/>
          <w:sz w:val="24"/>
        </w:rPr>
        <w:t>5683.</w:t>
      </w:r>
    </w:p>
    <w:p w:rsidR="00410BC1" w:rsidRPr="00410BC1" w:rsidRDefault="00410BC1" w:rsidP="001057DB">
      <w:pPr>
        <w:spacing w:after="200"/>
        <w:rPr>
          <w:rFonts w:ascii="Times New Roman" w:hAnsi="Times New Roman" w:cs="Times New Roman"/>
          <w:sz w:val="24"/>
          <w:lang w:val="nl-BE"/>
        </w:rPr>
      </w:pPr>
      <w:r>
        <w:rPr>
          <w:rFonts w:ascii="Times New Roman" w:hAnsi="Times New Roman" w:cs="Times New Roman"/>
          <w:sz w:val="24"/>
        </w:rPr>
        <w:t xml:space="preserve">UNEP/SETAC </w:t>
      </w:r>
      <w:r w:rsidRPr="00410BC1">
        <w:rPr>
          <w:rFonts w:ascii="Times New Roman" w:hAnsi="Times New Roman" w:cs="Times New Roman"/>
          <w:sz w:val="24"/>
          <w:lang w:val="nl-BE"/>
        </w:rPr>
        <w:t xml:space="preserve">Life Cycle Initiative (2011) </w:t>
      </w:r>
      <w:r w:rsidRPr="00410BC1">
        <w:rPr>
          <w:rFonts w:ascii="Times New Roman" w:hAnsi="Times New Roman" w:cs="Times New Roman"/>
          <w:i/>
          <w:sz w:val="24"/>
          <w:lang w:val="nl-BE"/>
        </w:rPr>
        <w:t>Global Guidance Principles for Life Cycle assessment Databases. A basis for greener processes and products</w:t>
      </w:r>
      <w:r w:rsidRPr="00410BC1">
        <w:rPr>
          <w:rFonts w:ascii="Times New Roman" w:hAnsi="Times New Roman" w:cs="Times New Roman"/>
          <w:sz w:val="24"/>
          <w:lang w:val="nl-BE"/>
        </w:rPr>
        <w:t>. United Nations Environment</w:t>
      </w:r>
      <w:r>
        <w:rPr>
          <w:rFonts w:ascii="Times New Roman" w:hAnsi="Times New Roman" w:cs="Times New Roman"/>
          <w:sz w:val="24"/>
          <w:lang w:val="nl-BE"/>
        </w:rPr>
        <w:t xml:space="preserve"> Programme.</w:t>
      </w:r>
    </w:p>
    <w:p w:rsidR="003F0274" w:rsidRPr="004D534D" w:rsidRDefault="003F0274" w:rsidP="001057DB">
      <w:pPr>
        <w:spacing w:after="200"/>
        <w:rPr>
          <w:rFonts w:ascii="Times New Roman" w:hAnsi="Times New Roman" w:cs="Times New Roman"/>
          <w:sz w:val="24"/>
          <w:szCs w:val="24"/>
        </w:rPr>
      </w:pPr>
      <w:r w:rsidRPr="003F0274">
        <w:rPr>
          <w:rFonts w:ascii="Times New Roman" w:hAnsi="Times New Roman" w:cs="Times New Roman"/>
          <w:sz w:val="24"/>
          <w:szCs w:val="24"/>
        </w:rPr>
        <w:t xml:space="preserve">Van de Voorde, E., Vanelslander, T. (2014) </w:t>
      </w:r>
      <w:r w:rsidRPr="003F0274">
        <w:rPr>
          <w:rFonts w:ascii="Times New Roman" w:hAnsi="Times New Roman" w:cs="Times New Roman"/>
          <w:i/>
          <w:sz w:val="24"/>
          <w:szCs w:val="24"/>
        </w:rPr>
        <w:t>Development of rail freight in Europe: What regulation can and cannot do. Belgium case study</w:t>
      </w:r>
      <w:r>
        <w:rPr>
          <w:rFonts w:ascii="Times New Roman" w:hAnsi="Times New Roman" w:cs="Times New Roman"/>
          <w:sz w:val="24"/>
          <w:szCs w:val="24"/>
        </w:rPr>
        <w:t xml:space="preserve">. </w:t>
      </w:r>
      <w:r w:rsidRPr="008471C7">
        <w:rPr>
          <w:rFonts w:ascii="Times New Roman" w:hAnsi="Times New Roman" w:cs="Times New Roman"/>
          <w:sz w:val="24"/>
          <w:szCs w:val="24"/>
        </w:rPr>
        <w:t>Centre on Regulation in Europe (CERRE</w:t>
      </w:r>
      <w:r>
        <w:rPr>
          <w:rFonts w:ascii="Times New Roman" w:hAnsi="Times New Roman" w:cs="Times New Roman"/>
          <w:sz w:val="24"/>
          <w:szCs w:val="24"/>
        </w:rPr>
        <w:t>).</w:t>
      </w:r>
    </w:p>
    <w:p w:rsidR="008471C7" w:rsidRPr="003F014F" w:rsidRDefault="009264DC" w:rsidP="003F014F">
      <w:pPr>
        <w:spacing w:after="200"/>
        <w:rPr>
          <w:rFonts w:ascii="Times New Roman" w:hAnsi="Times New Roman" w:cs="Times New Roman"/>
          <w:sz w:val="24"/>
          <w:szCs w:val="24"/>
          <w:lang w:val="nl-BE"/>
        </w:rPr>
      </w:pPr>
      <w:r>
        <w:rPr>
          <w:rFonts w:ascii="Times New Roman" w:hAnsi="Times New Roman" w:cs="Times New Roman"/>
          <w:sz w:val="24"/>
          <w:szCs w:val="24"/>
        </w:rPr>
        <w:t xml:space="preserve">Weidema </w:t>
      </w:r>
      <w:r w:rsidR="00237617">
        <w:rPr>
          <w:rFonts w:ascii="Times New Roman" w:hAnsi="Times New Roman" w:cs="Times New Roman"/>
          <w:sz w:val="24"/>
          <w:szCs w:val="24"/>
          <w:lang w:val="nl-BE"/>
        </w:rPr>
        <w:t>B.</w:t>
      </w:r>
      <w:r w:rsidRPr="009264DC">
        <w:rPr>
          <w:rFonts w:ascii="Times New Roman" w:hAnsi="Times New Roman" w:cs="Times New Roman"/>
          <w:sz w:val="24"/>
          <w:szCs w:val="24"/>
          <w:lang w:val="nl-BE"/>
        </w:rPr>
        <w:t>P., Bauer, C., Hischier, R., Mutel, C., Nemecek, T., Reinhard, J., Va</w:t>
      </w:r>
      <w:r w:rsidR="00237617">
        <w:rPr>
          <w:rFonts w:ascii="Times New Roman" w:hAnsi="Times New Roman" w:cs="Times New Roman"/>
          <w:sz w:val="24"/>
          <w:szCs w:val="24"/>
          <w:lang w:val="nl-BE"/>
        </w:rPr>
        <w:t>denbo, C.</w:t>
      </w:r>
      <w:r>
        <w:rPr>
          <w:rFonts w:ascii="Times New Roman" w:hAnsi="Times New Roman" w:cs="Times New Roman"/>
          <w:sz w:val="24"/>
          <w:szCs w:val="24"/>
          <w:lang w:val="nl-BE"/>
        </w:rPr>
        <w:t>O., Wernet, G. (2013)</w:t>
      </w:r>
      <w:r w:rsidRPr="009264DC">
        <w:rPr>
          <w:rFonts w:ascii="Times New Roman" w:hAnsi="Times New Roman" w:cs="Times New Roman"/>
          <w:sz w:val="24"/>
          <w:szCs w:val="24"/>
          <w:lang w:val="nl-BE"/>
        </w:rPr>
        <w:t xml:space="preserve"> </w:t>
      </w:r>
      <w:r w:rsidRPr="009264DC">
        <w:rPr>
          <w:rFonts w:ascii="Times New Roman" w:hAnsi="Times New Roman" w:cs="Times New Roman"/>
          <w:i/>
          <w:sz w:val="24"/>
          <w:szCs w:val="24"/>
          <w:lang w:val="nl-BE"/>
        </w:rPr>
        <w:t>Overview and methodology. Data quality guideline for the ecoinvent database version 3. Ecoinvent Report 1(v3)</w:t>
      </w:r>
      <w:r w:rsidRPr="009264DC">
        <w:rPr>
          <w:rFonts w:ascii="Times New Roman" w:hAnsi="Times New Roman" w:cs="Times New Roman"/>
          <w:sz w:val="24"/>
          <w:szCs w:val="24"/>
          <w:lang w:val="nl-BE"/>
        </w:rPr>
        <w:t>. St. Gallen: The ecoinvent</w:t>
      </w:r>
      <w:r>
        <w:rPr>
          <w:rFonts w:ascii="Times New Roman" w:hAnsi="Times New Roman" w:cs="Times New Roman"/>
          <w:sz w:val="24"/>
          <w:szCs w:val="24"/>
          <w:lang w:val="nl-BE"/>
        </w:rPr>
        <w:t xml:space="preserve"> Centre.</w:t>
      </w:r>
    </w:p>
    <w:sectPr w:rsidR="008471C7" w:rsidRPr="003F014F" w:rsidSect="00F57EE9">
      <w:footerReference w:type="default" r:id="rId12"/>
      <w:pgSz w:w="11907" w:h="16840" w:code="9"/>
      <w:pgMar w:top="2041" w:right="1418" w:bottom="2041" w:left="1418" w:header="720" w:footer="72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4AD" w:rsidRDefault="00B614AD">
      <w:r>
        <w:separator/>
      </w:r>
    </w:p>
  </w:endnote>
  <w:endnote w:type="continuationSeparator" w:id="0">
    <w:p w:rsidR="00B614AD" w:rsidRDefault="00B6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9D" w:rsidRPr="00113628" w:rsidRDefault="00630ABE" w:rsidP="00113628">
    <w:pPr>
      <w:pStyle w:val="Footer"/>
      <w:rPr>
        <w:sz w:val="20"/>
        <w:szCs w:val="20"/>
      </w:rPr>
    </w:pPr>
    <w:r w:rsidRPr="00113628">
      <w:rPr>
        <w:sz w:val="20"/>
        <w:szCs w:val="20"/>
      </w:rPr>
      <w:t xml:space="preserve">Page </w:t>
    </w:r>
    <w:r w:rsidR="00D01F9C" w:rsidRPr="00113628">
      <w:rPr>
        <w:rStyle w:val="PageNumber"/>
        <w:sz w:val="20"/>
        <w:szCs w:val="20"/>
      </w:rPr>
      <w:fldChar w:fldCharType="begin"/>
    </w:r>
    <w:r w:rsidRPr="00113628">
      <w:rPr>
        <w:rStyle w:val="PageNumber"/>
        <w:sz w:val="20"/>
        <w:szCs w:val="20"/>
      </w:rPr>
      <w:instrText xml:space="preserve">PAGE  </w:instrText>
    </w:r>
    <w:r w:rsidR="00D01F9C" w:rsidRPr="00113628">
      <w:rPr>
        <w:rStyle w:val="PageNumber"/>
        <w:sz w:val="20"/>
        <w:szCs w:val="20"/>
      </w:rPr>
      <w:fldChar w:fldCharType="separate"/>
    </w:r>
    <w:r w:rsidR="00A16E93">
      <w:rPr>
        <w:rStyle w:val="PageNumber"/>
        <w:noProof/>
        <w:sz w:val="20"/>
        <w:szCs w:val="20"/>
      </w:rPr>
      <w:t>4</w:t>
    </w:r>
    <w:r w:rsidR="00D01F9C" w:rsidRPr="00113628">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4AD" w:rsidRDefault="00B614AD">
      <w:r>
        <w:separator/>
      </w:r>
    </w:p>
  </w:footnote>
  <w:footnote w:type="continuationSeparator" w:id="0">
    <w:p w:rsidR="00B614AD" w:rsidRDefault="00B61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17BF6"/>
    <w:multiLevelType w:val="hybridMultilevel"/>
    <w:tmpl w:val="40CEB39C"/>
    <w:lvl w:ilvl="0" w:tplc="A00090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392676"/>
    <w:multiLevelType w:val="hybridMultilevel"/>
    <w:tmpl w:val="63DED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F8209E"/>
    <w:multiLevelType w:val="hybridMultilevel"/>
    <w:tmpl w:val="958A78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DA130F"/>
    <w:multiLevelType w:val="hybridMultilevel"/>
    <w:tmpl w:val="2E6E8E38"/>
    <w:lvl w:ilvl="0" w:tplc="A00090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0C75F7"/>
    <w:multiLevelType w:val="hybridMultilevel"/>
    <w:tmpl w:val="6FF2355E"/>
    <w:lvl w:ilvl="0" w:tplc="A00090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F25571"/>
    <w:multiLevelType w:val="hybridMultilevel"/>
    <w:tmpl w:val="4D286706"/>
    <w:lvl w:ilvl="0" w:tplc="40E605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7617246"/>
    <w:multiLevelType w:val="hybridMultilevel"/>
    <w:tmpl w:val="657A7074"/>
    <w:lvl w:ilvl="0" w:tplc="0F00B6C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9722CEC"/>
    <w:multiLevelType w:val="hybridMultilevel"/>
    <w:tmpl w:val="A24819DE"/>
    <w:lvl w:ilvl="0" w:tplc="6C9C2A4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A1D572F"/>
    <w:multiLevelType w:val="hybridMultilevel"/>
    <w:tmpl w:val="D61EDD86"/>
    <w:lvl w:ilvl="0" w:tplc="7130B448">
      <w:start w:val="1"/>
      <w:numFmt w:val="bullet"/>
      <w:pStyle w:val="NormalList"/>
      <w:lvlText w:val=""/>
      <w:lvlJc w:val="left"/>
      <w:pPr>
        <w:tabs>
          <w:tab w:val="num" w:pos="567"/>
        </w:tabs>
        <w:ind w:left="567" w:hanging="39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6A51EAF"/>
    <w:multiLevelType w:val="hybridMultilevel"/>
    <w:tmpl w:val="AC584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6B15EA"/>
    <w:multiLevelType w:val="hybridMultilevel"/>
    <w:tmpl w:val="629C5FA4"/>
    <w:lvl w:ilvl="0" w:tplc="E6ACF72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99C6466"/>
    <w:multiLevelType w:val="hybridMultilevel"/>
    <w:tmpl w:val="5F84CD18"/>
    <w:lvl w:ilvl="0" w:tplc="A62A25E6">
      <w:start w:val="1"/>
      <w:numFmt w:val="decimal"/>
      <w:pStyle w:val="ParagraphReferences"/>
      <w:lvlText w:val="[%1]"/>
      <w:lvlJc w:val="left"/>
      <w:pPr>
        <w:tabs>
          <w:tab w:val="num" w:pos="397"/>
        </w:tabs>
        <w:ind w:left="397" w:hanging="39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6D87232F"/>
    <w:multiLevelType w:val="hybridMultilevel"/>
    <w:tmpl w:val="1674BD34"/>
    <w:lvl w:ilvl="0" w:tplc="522AAE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8A4703"/>
    <w:multiLevelType w:val="hybridMultilevel"/>
    <w:tmpl w:val="5E2ACBAC"/>
    <w:lvl w:ilvl="0" w:tplc="A00090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E9F60A5"/>
    <w:multiLevelType w:val="hybridMultilevel"/>
    <w:tmpl w:val="37B4768A"/>
    <w:lvl w:ilvl="0" w:tplc="A00090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5"/>
  </w:num>
  <w:num w:numId="5">
    <w:abstractNumId w:val="6"/>
  </w:num>
  <w:num w:numId="6">
    <w:abstractNumId w:val="7"/>
  </w:num>
  <w:num w:numId="7">
    <w:abstractNumId w:val="10"/>
  </w:num>
  <w:num w:numId="8">
    <w:abstractNumId w:val="1"/>
  </w:num>
  <w:num w:numId="9">
    <w:abstractNumId w:val="9"/>
  </w:num>
  <w:num w:numId="10">
    <w:abstractNumId w:val="2"/>
  </w:num>
  <w:num w:numId="11">
    <w:abstractNumId w:val="3"/>
  </w:num>
  <w:num w:numId="12">
    <w:abstractNumId w:val="4"/>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30ABE"/>
    <w:rsid w:val="00023C6C"/>
    <w:rsid w:val="000245C1"/>
    <w:rsid w:val="00026502"/>
    <w:rsid w:val="00027EEE"/>
    <w:rsid w:val="00030A8C"/>
    <w:rsid w:val="000403C4"/>
    <w:rsid w:val="00044D28"/>
    <w:rsid w:val="0004649D"/>
    <w:rsid w:val="00047A50"/>
    <w:rsid w:val="00052802"/>
    <w:rsid w:val="00054FAB"/>
    <w:rsid w:val="0005659A"/>
    <w:rsid w:val="00056684"/>
    <w:rsid w:val="00057636"/>
    <w:rsid w:val="000614CD"/>
    <w:rsid w:val="00062B8C"/>
    <w:rsid w:val="00071B8B"/>
    <w:rsid w:val="00072F23"/>
    <w:rsid w:val="000845A9"/>
    <w:rsid w:val="00093423"/>
    <w:rsid w:val="000A49DF"/>
    <w:rsid w:val="000B3F7B"/>
    <w:rsid w:val="000E758C"/>
    <w:rsid w:val="00102877"/>
    <w:rsid w:val="001057DB"/>
    <w:rsid w:val="00110B77"/>
    <w:rsid w:val="0011746A"/>
    <w:rsid w:val="0012312B"/>
    <w:rsid w:val="0013410E"/>
    <w:rsid w:val="001355FC"/>
    <w:rsid w:val="0013588F"/>
    <w:rsid w:val="00140034"/>
    <w:rsid w:val="00143023"/>
    <w:rsid w:val="00144D8A"/>
    <w:rsid w:val="001454AB"/>
    <w:rsid w:val="00160604"/>
    <w:rsid w:val="00162A76"/>
    <w:rsid w:val="00172142"/>
    <w:rsid w:val="001731F6"/>
    <w:rsid w:val="00177802"/>
    <w:rsid w:val="00187477"/>
    <w:rsid w:val="00190543"/>
    <w:rsid w:val="00190D67"/>
    <w:rsid w:val="0019205E"/>
    <w:rsid w:val="0019673A"/>
    <w:rsid w:val="00197032"/>
    <w:rsid w:val="001A7F68"/>
    <w:rsid w:val="001B091B"/>
    <w:rsid w:val="001B6B55"/>
    <w:rsid w:val="001C45BA"/>
    <w:rsid w:val="001C7A12"/>
    <w:rsid w:val="001D381D"/>
    <w:rsid w:val="001E002D"/>
    <w:rsid w:val="001E248E"/>
    <w:rsid w:val="001F2F62"/>
    <w:rsid w:val="001F3A5B"/>
    <w:rsid w:val="001F795D"/>
    <w:rsid w:val="00202EC7"/>
    <w:rsid w:val="00207FD7"/>
    <w:rsid w:val="002158FC"/>
    <w:rsid w:val="002173FA"/>
    <w:rsid w:val="00222626"/>
    <w:rsid w:val="0023153F"/>
    <w:rsid w:val="00232F00"/>
    <w:rsid w:val="00237617"/>
    <w:rsid w:val="00240C6E"/>
    <w:rsid w:val="00251D8C"/>
    <w:rsid w:val="00261307"/>
    <w:rsid w:val="00261DA1"/>
    <w:rsid w:val="00261DC3"/>
    <w:rsid w:val="00266D05"/>
    <w:rsid w:val="00286620"/>
    <w:rsid w:val="00293DB1"/>
    <w:rsid w:val="0029528A"/>
    <w:rsid w:val="00295FB0"/>
    <w:rsid w:val="002A25C3"/>
    <w:rsid w:val="002A2D1B"/>
    <w:rsid w:val="002A2F8A"/>
    <w:rsid w:val="002A77B8"/>
    <w:rsid w:val="002B0B7E"/>
    <w:rsid w:val="002C2B49"/>
    <w:rsid w:val="002C33B1"/>
    <w:rsid w:val="002C359B"/>
    <w:rsid w:val="002D30EF"/>
    <w:rsid w:val="002D555C"/>
    <w:rsid w:val="002E5B94"/>
    <w:rsid w:val="002E602A"/>
    <w:rsid w:val="002F4248"/>
    <w:rsid w:val="002F6732"/>
    <w:rsid w:val="00302061"/>
    <w:rsid w:val="00302B4C"/>
    <w:rsid w:val="00303033"/>
    <w:rsid w:val="003169AB"/>
    <w:rsid w:val="00317987"/>
    <w:rsid w:val="00322909"/>
    <w:rsid w:val="00327B83"/>
    <w:rsid w:val="00331752"/>
    <w:rsid w:val="00335235"/>
    <w:rsid w:val="003423CE"/>
    <w:rsid w:val="0034312E"/>
    <w:rsid w:val="00343C5A"/>
    <w:rsid w:val="0036113F"/>
    <w:rsid w:val="00363DAF"/>
    <w:rsid w:val="003652D9"/>
    <w:rsid w:val="00366CFA"/>
    <w:rsid w:val="00374152"/>
    <w:rsid w:val="003805AC"/>
    <w:rsid w:val="00384F49"/>
    <w:rsid w:val="00386949"/>
    <w:rsid w:val="00387718"/>
    <w:rsid w:val="00387C2F"/>
    <w:rsid w:val="003976F4"/>
    <w:rsid w:val="00397A89"/>
    <w:rsid w:val="003A0970"/>
    <w:rsid w:val="003A1744"/>
    <w:rsid w:val="003B6FFE"/>
    <w:rsid w:val="003C5D9B"/>
    <w:rsid w:val="003D448C"/>
    <w:rsid w:val="003D6192"/>
    <w:rsid w:val="003D640D"/>
    <w:rsid w:val="003D6B62"/>
    <w:rsid w:val="003E343C"/>
    <w:rsid w:val="003E3862"/>
    <w:rsid w:val="003E5EA3"/>
    <w:rsid w:val="003E6D76"/>
    <w:rsid w:val="003F014F"/>
    <w:rsid w:val="003F0274"/>
    <w:rsid w:val="003F5D86"/>
    <w:rsid w:val="003F72D1"/>
    <w:rsid w:val="00403A97"/>
    <w:rsid w:val="004058B9"/>
    <w:rsid w:val="00405F2C"/>
    <w:rsid w:val="00406823"/>
    <w:rsid w:val="00410BC1"/>
    <w:rsid w:val="00416A15"/>
    <w:rsid w:val="004212D3"/>
    <w:rsid w:val="0042212D"/>
    <w:rsid w:val="0042652C"/>
    <w:rsid w:val="004335DB"/>
    <w:rsid w:val="0044093D"/>
    <w:rsid w:val="00462D32"/>
    <w:rsid w:val="0046314F"/>
    <w:rsid w:val="00471BEC"/>
    <w:rsid w:val="00475410"/>
    <w:rsid w:val="00480F7A"/>
    <w:rsid w:val="0048366C"/>
    <w:rsid w:val="00486FA4"/>
    <w:rsid w:val="004929B8"/>
    <w:rsid w:val="004A1073"/>
    <w:rsid w:val="004B0949"/>
    <w:rsid w:val="004C63B6"/>
    <w:rsid w:val="004D534D"/>
    <w:rsid w:val="004D702E"/>
    <w:rsid w:val="004E50B3"/>
    <w:rsid w:val="004F0720"/>
    <w:rsid w:val="004F3966"/>
    <w:rsid w:val="00502A09"/>
    <w:rsid w:val="005102C8"/>
    <w:rsid w:val="00511349"/>
    <w:rsid w:val="00511E20"/>
    <w:rsid w:val="005176B4"/>
    <w:rsid w:val="00526240"/>
    <w:rsid w:val="00540C84"/>
    <w:rsid w:val="005422DD"/>
    <w:rsid w:val="00556C4A"/>
    <w:rsid w:val="005571BE"/>
    <w:rsid w:val="00560721"/>
    <w:rsid w:val="00567F01"/>
    <w:rsid w:val="005732E7"/>
    <w:rsid w:val="005756F7"/>
    <w:rsid w:val="005757A4"/>
    <w:rsid w:val="00585D68"/>
    <w:rsid w:val="00586870"/>
    <w:rsid w:val="005917D5"/>
    <w:rsid w:val="0059234D"/>
    <w:rsid w:val="0059366E"/>
    <w:rsid w:val="00594F8C"/>
    <w:rsid w:val="00597342"/>
    <w:rsid w:val="005A672E"/>
    <w:rsid w:val="005C45B4"/>
    <w:rsid w:val="005C5C35"/>
    <w:rsid w:val="005C611D"/>
    <w:rsid w:val="005C6844"/>
    <w:rsid w:val="005C70A0"/>
    <w:rsid w:val="005D181E"/>
    <w:rsid w:val="005E4A8E"/>
    <w:rsid w:val="006020C3"/>
    <w:rsid w:val="0060402C"/>
    <w:rsid w:val="00605DB5"/>
    <w:rsid w:val="00610F61"/>
    <w:rsid w:val="006115CD"/>
    <w:rsid w:val="00614A01"/>
    <w:rsid w:val="00630ABE"/>
    <w:rsid w:val="006314AB"/>
    <w:rsid w:val="00631EEA"/>
    <w:rsid w:val="006368BF"/>
    <w:rsid w:val="00642C30"/>
    <w:rsid w:val="006455CE"/>
    <w:rsid w:val="00651945"/>
    <w:rsid w:val="00655D7E"/>
    <w:rsid w:val="00660B58"/>
    <w:rsid w:val="006730B6"/>
    <w:rsid w:val="0068041C"/>
    <w:rsid w:val="0068117F"/>
    <w:rsid w:val="006876FB"/>
    <w:rsid w:val="00687882"/>
    <w:rsid w:val="00691555"/>
    <w:rsid w:val="0069662F"/>
    <w:rsid w:val="00697AF9"/>
    <w:rsid w:val="006A3310"/>
    <w:rsid w:val="006A49AD"/>
    <w:rsid w:val="006C178F"/>
    <w:rsid w:val="006C3F07"/>
    <w:rsid w:val="006D067B"/>
    <w:rsid w:val="006D0F5A"/>
    <w:rsid w:val="006D5855"/>
    <w:rsid w:val="006D63E2"/>
    <w:rsid w:val="006F2C2D"/>
    <w:rsid w:val="006F42F7"/>
    <w:rsid w:val="006F7FB7"/>
    <w:rsid w:val="00700D13"/>
    <w:rsid w:val="00702F0F"/>
    <w:rsid w:val="00706B2C"/>
    <w:rsid w:val="007157AC"/>
    <w:rsid w:val="00716ED5"/>
    <w:rsid w:val="0072109E"/>
    <w:rsid w:val="00725F54"/>
    <w:rsid w:val="0073385A"/>
    <w:rsid w:val="0074236E"/>
    <w:rsid w:val="00753B10"/>
    <w:rsid w:val="007552BA"/>
    <w:rsid w:val="007560B5"/>
    <w:rsid w:val="0077284B"/>
    <w:rsid w:val="00776E1A"/>
    <w:rsid w:val="00785E8A"/>
    <w:rsid w:val="00790A6C"/>
    <w:rsid w:val="00790FCC"/>
    <w:rsid w:val="00793536"/>
    <w:rsid w:val="007936DC"/>
    <w:rsid w:val="007967F7"/>
    <w:rsid w:val="00797894"/>
    <w:rsid w:val="007B12B2"/>
    <w:rsid w:val="007B4BAF"/>
    <w:rsid w:val="007D2962"/>
    <w:rsid w:val="007F25BE"/>
    <w:rsid w:val="007F47C4"/>
    <w:rsid w:val="008111A7"/>
    <w:rsid w:val="0081141A"/>
    <w:rsid w:val="00813F1B"/>
    <w:rsid w:val="00824034"/>
    <w:rsid w:val="00824EBA"/>
    <w:rsid w:val="008265A7"/>
    <w:rsid w:val="0083160E"/>
    <w:rsid w:val="008319BA"/>
    <w:rsid w:val="00844232"/>
    <w:rsid w:val="008471C7"/>
    <w:rsid w:val="00847674"/>
    <w:rsid w:val="0085054E"/>
    <w:rsid w:val="00853896"/>
    <w:rsid w:val="00855A86"/>
    <w:rsid w:val="0086022A"/>
    <w:rsid w:val="008605CE"/>
    <w:rsid w:val="00862CC1"/>
    <w:rsid w:val="0086471E"/>
    <w:rsid w:val="0087077E"/>
    <w:rsid w:val="0088514E"/>
    <w:rsid w:val="00885302"/>
    <w:rsid w:val="00886011"/>
    <w:rsid w:val="00887A60"/>
    <w:rsid w:val="008930D0"/>
    <w:rsid w:val="00893469"/>
    <w:rsid w:val="008964D7"/>
    <w:rsid w:val="008C7EFB"/>
    <w:rsid w:val="008D0352"/>
    <w:rsid w:val="008D0F77"/>
    <w:rsid w:val="008E4D35"/>
    <w:rsid w:val="008E4E27"/>
    <w:rsid w:val="008E6838"/>
    <w:rsid w:val="008F0C18"/>
    <w:rsid w:val="008F38E5"/>
    <w:rsid w:val="00910754"/>
    <w:rsid w:val="0091640C"/>
    <w:rsid w:val="00926392"/>
    <w:rsid w:val="009264DC"/>
    <w:rsid w:val="009316DA"/>
    <w:rsid w:val="00946208"/>
    <w:rsid w:val="00950606"/>
    <w:rsid w:val="009510D8"/>
    <w:rsid w:val="00952D76"/>
    <w:rsid w:val="00955214"/>
    <w:rsid w:val="00971D99"/>
    <w:rsid w:val="00973922"/>
    <w:rsid w:val="00984B44"/>
    <w:rsid w:val="00991F8C"/>
    <w:rsid w:val="009A2E70"/>
    <w:rsid w:val="009B0845"/>
    <w:rsid w:val="009D2ECF"/>
    <w:rsid w:val="009D6179"/>
    <w:rsid w:val="009E30C3"/>
    <w:rsid w:val="009E5882"/>
    <w:rsid w:val="009F13B4"/>
    <w:rsid w:val="009F1525"/>
    <w:rsid w:val="009F1F35"/>
    <w:rsid w:val="009F27AF"/>
    <w:rsid w:val="00A042AF"/>
    <w:rsid w:val="00A05DE2"/>
    <w:rsid w:val="00A06852"/>
    <w:rsid w:val="00A14432"/>
    <w:rsid w:val="00A16E93"/>
    <w:rsid w:val="00A2544B"/>
    <w:rsid w:val="00A2733F"/>
    <w:rsid w:val="00A30822"/>
    <w:rsid w:val="00A34927"/>
    <w:rsid w:val="00A36034"/>
    <w:rsid w:val="00A36C7A"/>
    <w:rsid w:val="00A43292"/>
    <w:rsid w:val="00A52D6A"/>
    <w:rsid w:val="00A91909"/>
    <w:rsid w:val="00A94C08"/>
    <w:rsid w:val="00A96ED0"/>
    <w:rsid w:val="00AA695D"/>
    <w:rsid w:val="00AC60DA"/>
    <w:rsid w:val="00AD5A3D"/>
    <w:rsid w:val="00AE5A44"/>
    <w:rsid w:val="00AF1FD7"/>
    <w:rsid w:val="00AF3A3F"/>
    <w:rsid w:val="00AF7394"/>
    <w:rsid w:val="00B05F8E"/>
    <w:rsid w:val="00B109E2"/>
    <w:rsid w:val="00B13AC0"/>
    <w:rsid w:val="00B160F1"/>
    <w:rsid w:val="00B21103"/>
    <w:rsid w:val="00B2303D"/>
    <w:rsid w:val="00B35BE9"/>
    <w:rsid w:val="00B4277B"/>
    <w:rsid w:val="00B435CC"/>
    <w:rsid w:val="00B57F94"/>
    <w:rsid w:val="00B614AD"/>
    <w:rsid w:val="00B76ED6"/>
    <w:rsid w:val="00B82102"/>
    <w:rsid w:val="00B84EB9"/>
    <w:rsid w:val="00B85524"/>
    <w:rsid w:val="00B92590"/>
    <w:rsid w:val="00B952A6"/>
    <w:rsid w:val="00BA1515"/>
    <w:rsid w:val="00BC2BCA"/>
    <w:rsid w:val="00BC7940"/>
    <w:rsid w:val="00BD4922"/>
    <w:rsid w:val="00BD6CF6"/>
    <w:rsid w:val="00BE07F7"/>
    <w:rsid w:val="00BF2F8F"/>
    <w:rsid w:val="00C0312B"/>
    <w:rsid w:val="00C050BE"/>
    <w:rsid w:val="00C16EAA"/>
    <w:rsid w:val="00C2056C"/>
    <w:rsid w:val="00C30D5F"/>
    <w:rsid w:val="00C35EA7"/>
    <w:rsid w:val="00C43928"/>
    <w:rsid w:val="00C45C82"/>
    <w:rsid w:val="00C46D61"/>
    <w:rsid w:val="00C64C7E"/>
    <w:rsid w:val="00C655F8"/>
    <w:rsid w:val="00C705B5"/>
    <w:rsid w:val="00C8069F"/>
    <w:rsid w:val="00CA18E0"/>
    <w:rsid w:val="00CB1B90"/>
    <w:rsid w:val="00CB2FD1"/>
    <w:rsid w:val="00CC690F"/>
    <w:rsid w:val="00CC795D"/>
    <w:rsid w:val="00CD30DC"/>
    <w:rsid w:val="00CD41B3"/>
    <w:rsid w:val="00CD45AB"/>
    <w:rsid w:val="00CD6F5E"/>
    <w:rsid w:val="00CD7A85"/>
    <w:rsid w:val="00CE2F5C"/>
    <w:rsid w:val="00CE4100"/>
    <w:rsid w:val="00CE76D4"/>
    <w:rsid w:val="00CF2178"/>
    <w:rsid w:val="00D01F9C"/>
    <w:rsid w:val="00D110D6"/>
    <w:rsid w:val="00D1171F"/>
    <w:rsid w:val="00D2000C"/>
    <w:rsid w:val="00D200EA"/>
    <w:rsid w:val="00D22D4B"/>
    <w:rsid w:val="00D22F29"/>
    <w:rsid w:val="00D23904"/>
    <w:rsid w:val="00D31D87"/>
    <w:rsid w:val="00D347B9"/>
    <w:rsid w:val="00D3485B"/>
    <w:rsid w:val="00D41586"/>
    <w:rsid w:val="00D43779"/>
    <w:rsid w:val="00D51812"/>
    <w:rsid w:val="00D56439"/>
    <w:rsid w:val="00D57E72"/>
    <w:rsid w:val="00D66464"/>
    <w:rsid w:val="00D70C7B"/>
    <w:rsid w:val="00D71655"/>
    <w:rsid w:val="00D72464"/>
    <w:rsid w:val="00D867B8"/>
    <w:rsid w:val="00D87125"/>
    <w:rsid w:val="00D87DF7"/>
    <w:rsid w:val="00D93ADD"/>
    <w:rsid w:val="00D93C2B"/>
    <w:rsid w:val="00D94659"/>
    <w:rsid w:val="00D95A47"/>
    <w:rsid w:val="00D9689A"/>
    <w:rsid w:val="00DA0D16"/>
    <w:rsid w:val="00DC4A4F"/>
    <w:rsid w:val="00DC6A28"/>
    <w:rsid w:val="00DD48CC"/>
    <w:rsid w:val="00DD4982"/>
    <w:rsid w:val="00DE4E45"/>
    <w:rsid w:val="00DE4FFD"/>
    <w:rsid w:val="00DE62A5"/>
    <w:rsid w:val="00DF02BA"/>
    <w:rsid w:val="00DF0B1C"/>
    <w:rsid w:val="00E01C62"/>
    <w:rsid w:val="00E10E31"/>
    <w:rsid w:val="00E10EBA"/>
    <w:rsid w:val="00E116F2"/>
    <w:rsid w:val="00E300AC"/>
    <w:rsid w:val="00E42E1F"/>
    <w:rsid w:val="00E56896"/>
    <w:rsid w:val="00E70FB2"/>
    <w:rsid w:val="00E7358F"/>
    <w:rsid w:val="00E75339"/>
    <w:rsid w:val="00E816C1"/>
    <w:rsid w:val="00E8240A"/>
    <w:rsid w:val="00E83CE4"/>
    <w:rsid w:val="00E8749B"/>
    <w:rsid w:val="00EA09BE"/>
    <w:rsid w:val="00EA19BC"/>
    <w:rsid w:val="00EB5FA9"/>
    <w:rsid w:val="00EC13EC"/>
    <w:rsid w:val="00EC1A4C"/>
    <w:rsid w:val="00ED0ECB"/>
    <w:rsid w:val="00ED2E3B"/>
    <w:rsid w:val="00EE317B"/>
    <w:rsid w:val="00EE742B"/>
    <w:rsid w:val="00EF1223"/>
    <w:rsid w:val="00F006C6"/>
    <w:rsid w:val="00F02BB3"/>
    <w:rsid w:val="00F04161"/>
    <w:rsid w:val="00F05761"/>
    <w:rsid w:val="00F11FE5"/>
    <w:rsid w:val="00F22ECC"/>
    <w:rsid w:val="00F2412D"/>
    <w:rsid w:val="00F2738F"/>
    <w:rsid w:val="00F36BFC"/>
    <w:rsid w:val="00F42A54"/>
    <w:rsid w:val="00F43C75"/>
    <w:rsid w:val="00F4456A"/>
    <w:rsid w:val="00F4457E"/>
    <w:rsid w:val="00F51913"/>
    <w:rsid w:val="00F53F26"/>
    <w:rsid w:val="00F55A7B"/>
    <w:rsid w:val="00F65800"/>
    <w:rsid w:val="00F74686"/>
    <w:rsid w:val="00F76582"/>
    <w:rsid w:val="00F85A36"/>
    <w:rsid w:val="00F90457"/>
    <w:rsid w:val="00FB7C72"/>
    <w:rsid w:val="00FC525B"/>
    <w:rsid w:val="00FC538C"/>
    <w:rsid w:val="00FC5D96"/>
    <w:rsid w:val="00FD3735"/>
    <w:rsid w:val="00FD4BB0"/>
    <w:rsid w:val="00FE5B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77D52-91C3-47C9-90EF-F05387E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ABE"/>
    <w:pPr>
      <w:spacing w:after="0" w:line="240" w:lineRule="auto"/>
      <w:jc w:val="both"/>
    </w:pPr>
    <w:rPr>
      <w:rFonts w:ascii="Arial" w:eastAsia="Times New Roman" w:hAnsi="Arial" w:cs="Arial"/>
      <w:lang w:val="en-GB" w:eastAsia="fr-FR"/>
    </w:rPr>
  </w:style>
  <w:style w:type="paragraph" w:styleId="Heading1">
    <w:name w:val="heading 1"/>
    <w:aliases w:val="Sub-heading"/>
    <w:basedOn w:val="Normal"/>
    <w:next w:val="paragraph"/>
    <w:link w:val="Heading1Char"/>
    <w:autoRedefine/>
    <w:qFormat/>
    <w:rsid w:val="00630ABE"/>
    <w:pPr>
      <w:keepNext/>
      <w:tabs>
        <w:tab w:val="left" w:pos="709"/>
      </w:tabs>
      <w:spacing w:before="240" w:after="120"/>
      <w:outlineLvl w:val="0"/>
    </w:pPr>
    <w:rPr>
      <w:b/>
      <w:bCs/>
      <w:caps/>
      <w:sz w:val="24"/>
      <w:szCs w:val="32"/>
    </w:rPr>
  </w:style>
  <w:style w:type="paragraph" w:styleId="Heading2">
    <w:name w:val="heading 2"/>
    <w:aliases w:val="Sub-heading-level2"/>
    <w:basedOn w:val="Normal"/>
    <w:next w:val="paragraph"/>
    <w:link w:val="Heading2Char"/>
    <w:autoRedefine/>
    <w:qFormat/>
    <w:rsid w:val="00630ABE"/>
    <w:pPr>
      <w:keepNext/>
      <w:spacing w:before="240"/>
      <w:outlineLvl w:val="1"/>
    </w:pPr>
    <w:rPr>
      <w:b/>
      <w:bCs/>
      <w:color w:val="0033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ing Char"/>
    <w:basedOn w:val="DefaultParagraphFont"/>
    <w:link w:val="Heading1"/>
    <w:rsid w:val="00630ABE"/>
    <w:rPr>
      <w:rFonts w:ascii="Arial" w:eastAsia="Times New Roman" w:hAnsi="Arial" w:cs="Arial"/>
      <w:b/>
      <w:bCs/>
      <w:caps/>
      <w:sz w:val="24"/>
      <w:szCs w:val="32"/>
      <w:lang w:val="en-GB" w:eastAsia="fr-FR"/>
    </w:rPr>
  </w:style>
  <w:style w:type="character" w:customStyle="1" w:styleId="Heading2Char">
    <w:name w:val="Heading 2 Char"/>
    <w:aliases w:val="Sub-heading-level2 Char"/>
    <w:basedOn w:val="DefaultParagraphFont"/>
    <w:link w:val="Heading2"/>
    <w:rsid w:val="00630ABE"/>
    <w:rPr>
      <w:rFonts w:ascii="Arial" w:eastAsia="Times New Roman" w:hAnsi="Arial" w:cs="Arial"/>
      <w:b/>
      <w:bCs/>
      <w:color w:val="003300"/>
      <w:sz w:val="24"/>
      <w:lang w:val="en-GB" w:eastAsia="fr-FR"/>
    </w:rPr>
  </w:style>
  <w:style w:type="paragraph" w:customStyle="1" w:styleId="TITLEOFPAPER">
    <w:name w:val="TITLE OF PAPER"/>
    <w:basedOn w:val="Normal"/>
    <w:next w:val="Authors"/>
    <w:rsid w:val="00630ABE"/>
    <w:pPr>
      <w:spacing w:before="1200" w:after="240"/>
      <w:jc w:val="left"/>
      <w:outlineLvl w:val="0"/>
    </w:pPr>
    <w:rPr>
      <w:b/>
      <w:bCs/>
      <w:caps/>
      <w:sz w:val="28"/>
    </w:rPr>
  </w:style>
  <w:style w:type="paragraph" w:customStyle="1" w:styleId="Abstract-title">
    <w:name w:val="Abstract-title"/>
    <w:basedOn w:val="Normal"/>
    <w:next w:val="paragraph"/>
    <w:rsid w:val="00630ABE"/>
    <w:rPr>
      <w:b/>
    </w:rPr>
  </w:style>
  <w:style w:type="paragraph" w:customStyle="1" w:styleId="Authors">
    <w:name w:val="Authors"/>
    <w:basedOn w:val="Normal"/>
    <w:next w:val="Affiliation"/>
    <w:rsid w:val="00630ABE"/>
    <w:pPr>
      <w:spacing w:after="240"/>
    </w:pPr>
    <w:rPr>
      <w:b/>
    </w:rPr>
  </w:style>
  <w:style w:type="character" w:styleId="Hyperlink">
    <w:name w:val="Hyperlink"/>
    <w:semiHidden/>
    <w:rsid w:val="00630ABE"/>
    <w:rPr>
      <w:color w:val="0000FF"/>
      <w:u w:val="single"/>
    </w:rPr>
  </w:style>
  <w:style w:type="paragraph" w:styleId="Footer">
    <w:name w:val="footer"/>
    <w:basedOn w:val="Normal"/>
    <w:link w:val="FooterChar"/>
    <w:semiHidden/>
    <w:rsid w:val="00630ABE"/>
    <w:pPr>
      <w:tabs>
        <w:tab w:val="center" w:pos="4536"/>
        <w:tab w:val="right" w:pos="9072"/>
      </w:tabs>
      <w:jc w:val="right"/>
    </w:pPr>
  </w:style>
  <w:style w:type="character" w:customStyle="1" w:styleId="FooterChar">
    <w:name w:val="Footer Char"/>
    <w:basedOn w:val="DefaultParagraphFont"/>
    <w:link w:val="Footer"/>
    <w:semiHidden/>
    <w:rsid w:val="00630ABE"/>
    <w:rPr>
      <w:rFonts w:ascii="Arial" w:eastAsia="Times New Roman" w:hAnsi="Arial" w:cs="Arial"/>
      <w:lang w:val="en-GB" w:eastAsia="fr-FR"/>
    </w:rPr>
  </w:style>
  <w:style w:type="paragraph" w:customStyle="1" w:styleId="figurecaption">
    <w:name w:val="figure caption"/>
    <w:basedOn w:val="Text"/>
    <w:next w:val="paragraph"/>
    <w:autoRedefine/>
    <w:rsid w:val="00630ABE"/>
    <w:pPr>
      <w:spacing w:before="120" w:after="240"/>
      <w:jc w:val="center"/>
    </w:pPr>
  </w:style>
  <w:style w:type="paragraph" w:customStyle="1" w:styleId="paragraph">
    <w:name w:val="paragraph"/>
    <w:basedOn w:val="Normal"/>
    <w:rsid w:val="00630ABE"/>
    <w:pPr>
      <w:ind w:firstLine="284"/>
    </w:pPr>
  </w:style>
  <w:style w:type="paragraph" w:customStyle="1" w:styleId="NormalList">
    <w:name w:val="Normal List"/>
    <w:basedOn w:val="Normal"/>
    <w:rsid w:val="00630ABE"/>
    <w:pPr>
      <w:numPr>
        <w:numId w:val="1"/>
      </w:numPr>
    </w:pPr>
  </w:style>
  <w:style w:type="paragraph" w:customStyle="1" w:styleId="Affiliation">
    <w:name w:val="Affiliation"/>
    <w:basedOn w:val="Normal"/>
    <w:autoRedefine/>
    <w:rsid w:val="00266D05"/>
    <w:pPr>
      <w:spacing w:before="120" w:after="60"/>
    </w:pPr>
    <w:rPr>
      <w:rFonts w:ascii="Times New Roman" w:hAnsi="Times New Roman" w:cs="Times New Roman"/>
      <w:sz w:val="24"/>
      <w:szCs w:val="24"/>
      <w:lang w:val="es-ES"/>
    </w:rPr>
  </w:style>
  <w:style w:type="paragraph" w:customStyle="1" w:styleId="Text">
    <w:name w:val="Text"/>
    <w:basedOn w:val="Normal"/>
    <w:rsid w:val="00630ABE"/>
    <w:pPr>
      <w:spacing w:after="120"/>
    </w:pPr>
  </w:style>
  <w:style w:type="paragraph" w:customStyle="1" w:styleId="ParagraphReferences">
    <w:name w:val="Paragraph References"/>
    <w:basedOn w:val="paragraph"/>
    <w:autoRedefine/>
    <w:rsid w:val="00630ABE"/>
    <w:pPr>
      <w:numPr>
        <w:numId w:val="2"/>
      </w:numPr>
      <w:tabs>
        <w:tab w:val="left" w:pos="425"/>
      </w:tabs>
    </w:pPr>
  </w:style>
  <w:style w:type="character" w:styleId="PageNumber">
    <w:name w:val="page number"/>
    <w:basedOn w:val="DefaultParagraphFont"/>
    <w:semiHidden/>
    <w:rsid w:val="00630ABE"/>
  </w:style>
  <w:style w:type="character" w:styleId="CommentReference">
    <w:name w:val="annotation reference"/>
    <w:basedOn w:val="DefaultParagraphFont"/>
    <w:uiPriority w:val="99"/>
    <w:semiHidden/>
    <w:unhideWhenUsed/>
    <w:rsid w:val="00973922"/>
    <w:rPr>
      <w:sz w:val="16"/>
      <w:szCs w:val="16"/>
    </w:rPr>
  </w:style>
  <w:style w:type="paragraph" w:styleId="CommentText">
    <w:name w:val="annotation text"/>
    <w:basedOn w:val="Normal"/>
    <w:link w:val="CommentTextChar"/>
    <w:uiPriority w:val="99"/>
    <w:semiHidden/>
    <w:unhideWhenUsed/>
    <w:rsid w:val="00973922"/>
    <w:rPr>
      <w:sz w:val="20"/>
      <w:szCs w:val="20"/>
    </w:rPr>
  </w:style>
  <w:style w:type="character" w:customStyle="1" w:styleId="CommentTextChar">
    <w:name w:val="Comment Text Char"/>
    <w:basedOn w:val="DefaultParagraphFont"/>
    <w:link w:val="CommentText"/>
    <w:uiPriority w:val="99"/>
    <w:semiHidden/>
    <w:rsid w:val="00973922"/>
    <w:rPr>
      <w:rFonts w:ascii="Arial" w:eastAsia="Times New Roman" w:hAnsi="Arial" w:cs="Arial"/>
      <w:sz w:val="20"/>
      <w:szCs w:val="20"/>
      <w:lang w:val="en-GB" w:eastAsia="fr-FR"/>
    </w:rPr>
  </w:style>
  <w:style w:type="paragraph" w:styleId="CommentSubject">
    <w:name w:val="annotation subject"/>
    <w:basedOn w:val="CommentText"/>
    <w:next w:val="CommentText"/>
    <w:link w:val="CommentSubjectChar"/>
    <w:uiPriority w:val="99"/>
    <w:semiHidden/>
    <w:unhideWhenUsed/>
    <w:rsid w:val="00973922"/>
    <w:rPr>
      <w:b/>
      <w:bCs/>
    </w:rPr>
  </w:style>
  <w:style w:type="character" w:customStyle="1" w:styleId="CommentSubjectChar">
    <w:name w:val="Comment Subject Char"/>
    <w:basedOn w:val="CommentTextChar"/>
    <w:link w:val="CommentSubject"/>
    <w:uiPriority w:val="99"/>
    <w:semiHidden/>
    <w:rsid w:val="00973922"/>
    <w:rPr>
      <w:rFonts w:ascii="Arial" w:eastAsia="Times New Roman" w:hAnsi="Arial" w:cs="Arial"/>
      <w:b/>
      <w:bCs/>
      <w:sz w:val="20"/>
      <w:szCs w:val="20"/>
      <w:lang w:val="en-GB" w:eastAsia="fr-FR"/>
    </w:rPr>
  </w:style>
  <w:style w:type="paragraph" w:styleId="BalloonText">
    <w:name w:val="Balloon Text"/>
    <w:basedOn w:val="Normal"/>
    <w:link w:val="BalloonTextChar"/>
    <w:uiPriority w:val="99"/>
    <w:semiHidden/>
    <w:unhideWhenUsed/>
    <w:rsid w:val="00973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922"/>
    <w:rPr>
      <w:rFonts w:ascii="Segoe UI" w:eastAsia="Times New Roman" w:hAnsi="Segoe UI" w:cs="Segoe UI"/>
      <w:sz w:val="18"/>
      <w:szCs w:val="18"/>
      <w:lang w:val="en-GB" w:eastAsia="fr-FR"/>
    </w:rPr>
  </w:style>
  <w:style w:type="paragraph" w:styleId="Header">
    <w:name w:val="header"/>
    <w:basedOn w:val="Normal"/>
    <w:link w:val="HeaderChar"/>
    <w:uiPriority w:val="99"/>
    <w:semiHidden/>
    <w:unhideWhenUsed/>
    <w:rsid w:val="00AE5A44"/>
    <w:pPr>
      <w:tabs>
        <w:tab w:val="center" w:pos="4536"/>
        <w:tab w:val="right" w:pos="9072"/>
      </w:tabs>
    </w:pPr>
  </w:style>
  <w:style w:type="character" w:customStyle="1" w:styleId="HeaderChar">
    <w:name w:val="Header Char"/>
    <w:basedOn w:val="DefaultParagraphFont"/>
    <w:link w:val="Header"/>
    <w:uiPriority w:val="99"/>
    <w:semiHidden/>
    <w:rsid w:val="00AE5A44"/>
    <w:rPr>
      <w:rFonts w:ascii="Arial" w:eastAsia="Times New Roman" w:hAnsi="Arial" w:cs="Arial"/>
      <w:lang w:val="en-GB" w:eastAsia="fr-FR"/>
    </w:rPr>
  </w:style>
  <w:style w:type="table" w:styleId="TableGrid">
    <w:name w:val="Table Grid"/>
    <w:basedOn w:val="TableNormal"/>
    <w:uiPriority w:val="39"/>
    <w:rsid w:val="00E82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8240A"/>
    <w:pPr>
      <w:spacing w:after="200"/>
      <w:jc w:val="left"/>
    </w:pPr>
    <w:rPr>
      <w:rFonts w:asciiTheme="minorHAnsi" w:eastAsiaTheme="minorHAnsi" w:hAnsiTheme="minorHAnsi" w:cstheme="minorBidi"/>
      <w:i/>
      <w:iCs/>
      <w:color w:val="1F497D" w:themeColor="text2"/>
      <w:sz w:val="18"/>
      <w:szCs w:val="18"/>
      <w:lang w:val="fr-FR" w:eastAsia="en-US"/>
    </w:rPr>
  </w:style>
  <w:style w:type="paragraph" w:styleId="ListParagraph">
    <w:name w:val="List Paragraph"/>
    <w:basedOn w:val="Normal"/>
    <w:uiPriority w:val="34"/>
    <w:qFormat/>
    <w:rsid w:val="00363DAF"/>
    <w:pPr>
      <w:ind w:left="720"/>
      <w:contextualSpacing/>
    </w:pPr>
  </w:style>
  <w:style w:type="paragraph" w:styleId="NoSpacing">
    <w:name w:val="No Spacing"/>
    <w:uiPriority w:val="1"/>
    <w:qFormat/>
    <w:rsid w:val="0034312E"/>
    <w:pPr>
      <w:spacing w:after="0" w:line="240" w:lineRule="auto"/>
      <w:jc w:val="both"/>
    </w:pPr>
    <w:rPr>
      <w:rFonts w:ascii="Arial" w:eastAsia="Times New Roman" w:hAnsi="Arial" w:cs="Arial"/>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transport/themes/infrastructure/ten-t-guidelines/corridors/corridor-studies_en.htm" TargetMode="External"/><Relationship Id="rId5" Type="http://schemas.openxmlformats.org/officeDocument/2006/relationships/webSettings" Target="webSettings.xml"/><Relationship Id="rId10" Type="http://schemas.openxmlformats.org/officeDocument/2006/relationships/hyperlink" Target="http://ec.europa.eu/eurostat/data/databas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1784-646C-4B1D-844A-7974C980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3827</TotalTime>
  <Pages>12</Pages>
  <Words>4218</Words>
  <Characters>23205</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sorez</dc:creator>
  <cp:lastModifiedBy>Angel Merchan</cp:lastModifiedBy>
  <cp:revision>235</cp:revision>
  <cp:lastPrinted>2015-04-08T17:28:00Z</cp:lastPrinted>
  <dcterms:created xsi:type="dcterms:W3CDTF">2014-11-24T22:10:00Z</dcterms:created>
  <dcterms:modified xsi:type="dcterms:W3CDTF">2015-04-15T13:12:00Z</dcterms:modified>
</cp:coreProperties>
</file>