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ABE" w:rsidRPr="002A25C3" w:rsidRDefault="002D30EF" w:rsidP="001057DB">
      <w:pPr>
        <w:pStyle w:val="TITLEOFPAPER"/>
        <w:jc w:val="both"/>
        <w:rPr>
          <w:rFonts w:ascii="Times New Roman" w:hAnsi="Times New Roman" w:cs="Times New Roman"/>
          <w:caps w:val="0"/>
          <w:sz w:val="32"/>
          <w:szCs w:val="24"/>
        </w:rPr>
      </w:pPr>
      <w:r w:rsidRPr="002A25C3">
        <w:rPr>
          <w:rFonts w:ascii="Times New Roman" w:hAnsi="Times New Roman" w:cs="Times New Roman"/>
          <w:caps w:val="0"/>
          <w:sz w:val="32"/>
          <w:szCs w:val="24"/>
        </w:rPr>
        <w:t>Environmental impact assessment of rail freight intermodality</w:t>
      </w:r>
    </w:p>
    <w:p w:rsidR="009F13B4" w:rsidRDefault="00D70C7B" w:rsidP="001057DB">
      <w:pPr>
        <w:pStyle w:val="Authors"/>
        <w:rPr>
          <w:rFonts w:ascii="Times New Roman" w:hAnsi="Times New Roman" w:cs="Times New Roman"/>
          <w:sz w:val="24"/>
          <w:szCs w:val="24"/>
          <w:vertAlign w:val="superscript"/>
        </w:rPr>
      </w:pPr>
      <w:r w:rsidRPr="002A25C3">
        <w:rPr>
          <w:rFonts w:ascii="Times New Roman" w:hAnsi="Times New Roman" w:cs="Times New Roman"/>
          <w:sz w:val="24"/>
          <w:szCs w:val="24"/>
        </w:rPr>
        <w:t>Angel L. M</w:t>
      </w:r>
      <w:r w:rsidR="002F4248" w:rsidRPr="002A25C3">
        <w:rPr>
          <w:rFonts w:ascii="Times New Roman" w:hAnsi="Times New Roman" w:cs="Times New Roman"/>
          <w:sz w:val="24"/>
          <w:szCs w:val="24"/>
        </w:rPr>
        <w:t>ERCHAN</w:t>
      </w:r>
      <w:r w:rsidR="002A25C3" w:rsidRPr="002A25C3">
        <w:rPr>
          <w:rFonts w:ascii="Times New Roman" w:hAnsi="Times New Roman" w:cs="Times New Roman"/>
          <w:sz w:val="24"/>
          <w:szCs w:val="24"/>
          <w:vertAlign w:val="superscript"/>
        </w:rPr>
        <w:t>1</w:t>
      </w:r>
      <w:r w:rsidR="009F13B4" w:rsidRPr="002A25C3">
        <w:rPr>
          <w:rFonts w:ascii="Times New Roman" w:hAnsi="Times New Roman" w:cs="Times New Roman"/>
          <w:sz w:val="24"/>
          <w:szCs w:val="24"/>
        </w:rPr>
        <w:t xml:space="preserve">, </w:t>
      </w:r>
      <w:r w:rsidR="00973922">
        <w:rPr>
          <w:rFonts w:ascii="Times New Roman" w:hAnsi="Times New Roman" w:cs="Times New Roman"/>
          <w:sz w:val="24"/>
          <w:szCs w:val="24"/>
        </w:rPr>
        <w:t>Sandra BELBOOM</w:t>
      </w:r>
      <w:r w:rsidR="007B12B2">
        <w:rPr>
          <w:rFonts w:ascii="Times New Roman" w:hAnsi="Times New Roman" w:cs="Times New Roman"/>
          <w:sz w:val="24"/>
          <w:szCs w:val="24"/>
          <w:vertAlign w:val="superscript"/>
        </w:rPr>
        <w:t>1</w:t>
      </w:r>
      <w:r w:rsidR="00753B10">
        <w:rPr>
          <w:rFonts w:ascii="Times New Roman" w:hAnsi="Times New Roman" w:cs="Times New Roman"/>
          <w:sz w:val="24"/>
          <w:szCs w:val="24"/>
        </w:rPr>
        <w:t xml:space="preserve">, </w:t>
      </w:r>
      <w:r w:rsidR="002D30EF" w:rsidRPr="002A25C3">
        <w:rPr>
          <w:rFonts w:ascii="Times New Roman" w:hAnsi="Times New Roman" w:cs="Times New Roman"/>
          <w:sz w:val="24"/>
          <w:szCs w:val="24"/>
        </w:rPr>
        <w:t>A</w:t>
      </w:r>
      <w:r w:rsidR="002A25C3" w:rsidRPr="002A25C3">
        <w:rPr>
          <w:rFonts w:ascii="Times New Roman" w:hAnsi="Times New Roman" w:cs="Times New Roman"/>
          <w:sz w:val="24"/>
          <w:szCs w:val="24"/>
        </w:rPr>
        <w:t>ngé</w:t>
      </w:r>
      <w:r w:rsidR="002D30EF" w:rsidRPr="002A25C3">
        <w:rPr>
          <w:rFonts w:ascii="Times New Roman" w:hAnsi="Times New Roman" w:cs="Times New Roman"/>
          <w:sz w:val="24"/>
          <w:szCs w:val="24"/>
        </w:rPr>
        <w:t>lique LEONARD</w:t>
      </w:r>
      <w:r w:rsidR="002A25C3" w:rsidRPr="002A25C3">
        <w:rPr>
          <w:rFonts w:ascii="Times New Roman" w:hAnsi="Times New Roman" w:cs="Times New Roman"/>
          <w:sz w:val="24"/>
          <w:szCs w:val="24"/>
          <w:vertAlign w:val="superscript"/>
        </w:rPr>
        <w:t>1</w:t>
      </w:r>
    </w:p>
    <w:p w:rsidR="0068041C" w:rsidRDefault="002A25C3" w:rsidP="001057DB">
      <w:pPr>
        <w:pStyle w:val="Authors"/>
        <w:rPr>
          <w:rFonts w:ascii="Times New Roman" w:hAnsi="Times New Roman" w:cs="Times New Roman"/>
          <w:b w:val="0"/>
          <w:sz w:val="24"/>
          <w:szCs w:val="24"/>
        </w:rPr>
      </w:pPr>
      <w:r w:rsidRPr="0068041C">
        <w:rPr>
          <w:rFonts w:ascii="Times New Roman" w:hAnsi="Times New Roman" w:cs="Times New Roman"/>
          <w:b w:val="0"/>
          <w:sz w:val="24"/>
          <w:szCs w:val="24"/>
          <w:vertAlign w:val="superscript"/>
        </w:rPr>
        <w:t>1</w:t>
      </w:r>
      <w:r w:rsidR="008D0352">
        <w:rPr>
          <w:rFonts w:ascii="Times New Roman" w:hAnsi="Times New Roman" w:cs="Times New Roman"/>
          <w:b w:val="0"/>
          <w:sz w:val="24"/>
          <w:szCs w:val="24"/>
        </w:rPr>
        <w:t>Department of</w:t>
      </w:r>
      <w:r w:rsidR="00797894" w:rsidRPr="0068041C">
        <w:rPr>
          <w:rFonts w:ascii="Times New Roman" w:hAnsi="Times New Roman" w:cs="Times New Roman"/>
          <w:b w:val="0"/>
          <w:sz w:val="24"/>
          <w:szCs w:val="24"/>
        </w:rPr>
        <w:t xml:space="preserve"> Chemical Engineering</w:t>
      </w:r>
      <w:r w:rsidR="00893469" w:rsidRPr="0068041C">
        <w:rPr>
          <w:rFonts w:ascii="Times New Roman" w:hAnsi="Times New Roman" w:cs="Times New Roman"/>
          <w:b w:val="0"/>
          <w:sz w:val="24"/>
          <w:szCs w:val="24"/>
        </w:rPr>
        <w:t xml:space="preserve">, </w:t>
      </w:r>
      <w:r w:rsidR="008D0352">
        <w:rPr>
          <w:rFonts w:ascii="Times New Roman" w:hAnsi="Times New Roman" w:cs="Times New Roman"/>
          <w:b w:val="0"/>
          <w:sz w:val="24"/>
          <w:szCs w:val="24"/>
        </w:rPr>
        <w:t>Products, Environment, Processes (PEPs)</w:t>
      </w:r>
      <w:r w:rsidR="009E5882">
        <w:rPr>
          <w:rFonts w:ascii="Times New Roman" w:hAnsi="Times New Roman" w:cs="Times New Roman"/>
          <w:b w:val="0"/>
          <w:sz w:val="24"/>
          <w:szCs w:val="24"/>
        </w:rPr>
        <w:t>, University of Lie</w:t>
      </w:r>
      <w:r w:rsidR="00893469" w:rsidRPr="0068041C">
        <w:rPr>
          <w:rFonts w:ascii="Times New Roman" w:hAnsi="Times New Roman" w:cs="Times New Roman"/>
          <w:b w:val="0"/>
          <w:sz w:val="24"/>
          <w:szCs w:val="24"/>
        </w:rPr>
        <w:t>ge, Belgium</w:t>
      </w:r>
    </w:p>
    <w:p w:rsidR="00630ABE" w:rsidRDefault="00630ABE" w:rsidP="001057DB">
      <w:pPr>
        <w:pStyle w:val="Abstract-title"/>
        <w:rPr>
          <w:rFonts w:ascii="Times New Roman" w:hAnsi="Times New Roman" w:cs="Times New Roman"/>
          <w:sz w:val="24"/>
          <w:szCs w:val="24"/>
        </w:rPr>
      </w:pPr>
      <w:r w:rsidRPr="00973922">
        <w:rPr>
          <w:rFonts w:ascii="Times New Roman" w:hAnsi="Times New Roman" w:cs="Times New Roman"/>
          <w:sz w:val="24"/>
          <w:szCs w:val="24"/>
        </w:rPr>
        <w:t>Abstract</w:t>
      </w:r>
    </w:p>
    <w:p w:rsidR="00F006C6" w:rsidRPr="00F006C6" w:rsidRDefault="00F006C6" w:rsidP="001057DB">
      <w:pPr>
        <w:pStyle w:val="paragraph"/>
      </w:pPr>
    </w:p>
    <w:p w:rsidR="00AD5A3D" w:rsidRDefault="00AD5A3D" w:rsidP="00303033">
      <w:pPr>
        <w:pStyle w:val="paragraph"/>
        <w:ind w:firstLine="0"/>
        <w:rPr>
          <w:rFonts w:ascii="Times New Roman" w:hAnsi="Times New Roman" w:cs="Times New Roman"/>
          <w:bCs/>
          <w:sz w:val="24"/>
          <w:szCs w:val="24"/>
        </w:rPr>
      </w:pPr>
      <w:r>
        <w:rPr>
          <w:rFonts w:ascii="Times New Roman" w:hAnsi="Times New Roman" w:cs="Times New Roman"/>
          <w:bCs/>
          <w:sz w:val="24"/>
          <w:szCs w:val="24"/>
        </w:rPr>
        <w:t>The European Commission’s White Paper on transport</w:t>
      </w:r>
      <w:r w:rsidR="00697AF9">
        <w:rPr>
          <w:rFonts w:ascii="Times New Roman" w:hAnsi="Times New Roman" w:cs="Times New Roman"/>
          <w:bCs/>
          <w:sz w:val="24"/>
          <w:szCs w:val="24"/>
        </w:rPr>
        <w:t xml:space="preserve"> (European Commission, 2011)</w:t>
      </w:r>
      <w:r>
        <w:rPr>
          <w:rFonts w:ascii="Times New Roman" w:hAnsi="Times New Roman" w:cs="Times New Roman"/>
          <w:bCs/>
          <w:sz w:val="24"/>
          <w:szCs w:val="24"/>
        </w:rPr>
        <w:t xml:space="preserve"> </w:t>
      </w:r>
      <w:r w:rsidR="00F006C6">
        <w:rPr>
          <w:rFonts w:ascii="Times New Roman" w:hAnsi="Times New Roman" w:cs="Times New Roman"/>
          <w:bCs/>
          <w:sz w:val="24"/>
          <w:szCs w:val="24"/>
        </w:rPr>
        <w:t>seeks</w:t>
      </w:r>
      <w:r>
        <w:rPr>
          <w:rFonts w:ascii="Times New Roman" w:hAnsi="Times New Roman" w:cs="Times New Roman"/>
          <w:bCs/>
          <w:sz w:val="24"/>
          <w:szCs w:val="24"/>
        </w:rPr>
        <w:t xml:space="preserve"> to achieve an efficient and sustainable balance between the various transport modes</w:t>
      </w:r>
      <w:r w:rsidR="00F006C6">
        <w:rPr>
          <w:rFonts w:ascii="Times New Roman" w:hAnsi="Times New Roman" w:cs="Times New Roman"/>
          <w:bCs/>
          <w:sz w:val="24"/>
          <w:szCs w:val="24"/>
        </w:rPr>
        <w:t xml:space="preserve">. </w:t>
      </w:r>
      <w:r w:rsidR="00093423">
        <w:rPr>
          <w:rFonts w:ascii="Times New Roman" w:hAnsi="Times New Roman" w:cs="Times New Roman"/>
          <w:bCs/>
          <w:sz w:val="24"/>
          <w:szCs w:val="24"/>
        </w:rPr>
        <w:t>In this context, BRAIN-TRAIN</w:t>
      </w:r>
      <w:r w:rsidR="00D22D4B">
        <w:rPr>
          <w:rFonts w:ascii="Times New Roman" w:hAnsi="Times New Roman" w:cs="Times New Roman"/>
          <w:bCs/>
          <w:sz w:val="24"/>
          <w:szCs w:val="24"/>
        </w:rPr>
        <w:t>S</w:t>
      </w:r>
      <w:r w:rsidR="00093423">
        <w:rPr>
          <w:rFonts w:ascii="Times New Roman" w:hAnsi="Times New Roman" w:cs="Times New Roman"/>
          <w:bCs/>
          <w:sz w:val="24"/>
          <w:szCs w:val="24"/>
        </w:rPr>
        <w:t xml:space="preserve"> is a project supported by </w:t>
      </w:r>
      <w:r w:rsidR="00950606">
        <w:rPr>
          <w:rFonts w:ascii="Times New Roman" w:hAnsi="Times New Roman" w:cs="Times New Roman"/>
          <w:bCs/>
          <w:sz w:val="24"/>
          <w:szCs w:val="24"/>
        </w:rPr>
        <w:t xml:space="preserve">the </w:t>
      </w:r>
      <w:r w:rsidR="00093423">
        <w:rPr>
          <w:rFonts w:ascii="Times New Roman" w:hAnsi="Times New Roman" w:cs="Times New Roman"/>
          <w:bCs/>
          <w:sz w:val="24"/>
          <w:szCs w:val="24"/>
        </w:rPr>
        <w:t xml:space="preserve">Belgian Federal Government that deals with rail freight intermodality, approaching the problem from an interdisciplinary perspective. </w:t>
      </w:r>
      <w:r>
        <w:rPr>
          <w:rFonts w:ascii="Times New Roman" w:hAnsi="Times New Roman" w:cs="Times New Roman"/>
          <w:bCs/>
          <w:sz w:val="24"/>
          <w:szCs w:val="24"/>
        </w:rPr>
        <w:t>BRAIN-TRAINS will be able to answer the transition involved in transportation</w:t>
      </w:r>
      <w:r w:rsidR="0059366E">
        <w:rPr>
          <w:rFonts w:ascii="Times New Roman" w:hAnsi="Times New Roman" w:cs="Times New Roman"/>
          <w:bCs/>
          <w:sz w:val="24"/>
          <w:szCs w:val="24"/>
        </w:rPr>
        <w:t xml:space="preserve"> in Belgium</w:t>
      </w:r>
      <w:r>
        <w:rPr>
          <w:rFonts w:ascii="Times New Roman" w:hAnsi="Times New Roman" w:cs="Times New Roman"/>
          <w:bCs/>
          <w:sz w:val="24"/>
          <w:szCs w:val="24"/>
        </w:rPr>
        <w:t>.</w:t>
      </w:r>
    </w:p>
    <w:p w:rsidR="00F006C6" w:rsidRDefault="00F006C6" w:rsidP="001057DB">
      <w:pPr>
        <w:pStyle w:val="paragraph"/>
        <w:rPr>
          <w:rFonts w:ascii="Times New Roman" w:hAnsi="Times New Roman" w:cs="Times New Roman"/>
          <w:bCs/>
          <w:sz w:val="24"/>
          <w:szCs w:val="24"/>
        </w:rPr>
      </w:pPr>
    </w:p>
    <w:p w:rsidR="002A25C3" w:rsidRPr="009A2E70" w:rsidRDefault="002A25C3" w:rsidP="00303033">
      <w:pPr>
        <w:pStyle w:val="paragraph"/>
        <w:ind w:firstLine="0"/>
        <w:rPr>
          <w:rFonts w:ascii="Times New Roman" w:hAnsi="Times New Roman" w:cs="Times New Roman"/>
          <w:bCs/>
          <w:sz w:val="24"/>
          <w:szCs w:val="24"/>
        </w:rPr>
      </w:pPr>
      <w:r w:rsidRPr="009A2E70">
        <w:rPr>
          <w:rFonts w:ascii="Times New Roman" w:hAnsi="Times New Roman" w:cs="Times New Roman"/>
          <w:bCs/>
          <w:sz w:val="24"/>
          <w:szCs w:val="24"/>
        </w:rPr>
        <w:t>Environmental impact studies on intermodality</w:t>
      </w:r>
      <w:r w:rsidR="00560721">
        <w:rPr>
          <w:rFonts w:ascii="Times New Roman" w:hAnsi="Times New Roman" w:cs="Times New Roman"/>
          <w:bCs/>
          <w:sz w:val="24"/>
          <w:szCs w:val="24"/>
        </w:rPr>
        <w:t xml:space="preserve"> </w:t>
      </w:r>
      <w:r w:rsidRPr="009A2E70">
        <w:rPr>
          <w:rFonts w:ascii="Times New Roman" w:hAnsi="Times New Roman" w:cs="Times New Roman"/>
          <w:bCs/>
          <w:sz w:val="24"/>
          <w:szCs w:val="24"/>
        </w:rPr>
        <w:t>transport show that rail freight transport is the land-based transport that has a higher environmental performance (more fuel-efficient shipping alternative</w:t>
      </w:r>
      <w:r w:rsidR="00697AF9">
        <w:rPr>
          <w:rFonts w:ascii="Times New Roman" w:hAnsi="Times New Roman" w:cs="Times New Roman"/>
          <w:bCs/>
          <w:sz w:val="24"/>
          <w:szCs w:val="24"/>
        </w:rPr>
        <w:t xml:space="preserve"> </w:t>
      </w:r>
      <w:r w:rsidR="00697AF9">
        <w:rPr>
          <w:rFonts w:ascii="Times New Roman" w:hAnsi="Times New Roman" w:cs="Times New Roman"/>
        </w:rPr>
        <w:t>(</w:t>
      </w:r>
      <w:r w:rsidR="00697AF9" w:rsidRPr="00397A89">
        <w:rPr>
          <w:rFonts w:ascii="Times New Roman" w:hAnsi="Times New Roman" w:cs="Times New Roman"/>
        </w:rPr>
        <w:t>Hendrikson</w:t>
      </w:r>
      <w:r w:rsidR="00CE76D4">
        <w:rPr>
          <w:rFonts w:ascii="Times New Roman" w:hAnsi="Times New Roman" w:cs="Times New Roman"/>
        </w:rPr>
        <w:t xml:space="preserve"> et al.</w:t>
      </w:r>
      <w:r w:rsidR="00697AF9" w:rsidRPr="00397A89">
        <w:rPr>
          <w:rFonts w:ascii="Times New Roman" w:hAnsi="Times New Roman" w:cs="Times New Roman"/>
        </w:rPr>
        <w:t xml:space="preserve">, </w:t>
      </w:r>
      <w:r w:rsidR="00697AF9">
        <w:rPr>
          <w:rFonts w:ascii="Times New Roman" w:hAnsi="Times New Roman" w:cs="Times New Roman"/>
        </w:rPr>
        <w:t>2006</w:t>
      </w:r>
      <w:r w:rsidRPr="009A2E70">
        <w:rPr>
          <w:rFonts w:ascii="Times New Roman" w:hAnsi="Times New Roman" w:cs="Times New Roman"/>
          <w:bCs/>
          <w:sz w:val="24"/>
          <w:szCs w:val="24"/>
        </w:rPr>
        <w:t>)</w:t>
      </w:r>
      <w:r w:rsidR="00303033">
        <w:rPr>
          <w:rFonts w:ascii="Times New Roman" w:hAnsi="Times New Roman" w:cs="Times New Roman"/>
          <w:bCs/>
          <w:sz w:val="24"/>
          <w:szCs w:val="24"/>
        </w:rPr>
        <w:t>)</w:t>
      </w:r>
      <w:r w:rsidRPr="009A2E70">
        <w:rPr>
          <w:rFonts w:ascii="Times New Roman" w:hAnsi="Times New Roman" w:cs="Times New Roman"/>
          <w:bCs/>
          <w:sz w:val="24"/>
          <w:szCs w:val="24"/>
        </w:rPr>
        <w:t xml:space="preserve"> compared to intermodal road-rail and all-road transport</w:t>
      </w:r>
      <w:r w:rsidR="00697AF9">
        <w:rPr>
          <w:rFonts w:ascii="Times New Roman" w:hAnsi="Times New Roman" w:cs="Times New Roman"/>
          <w:bCs/>
          <w:sz w:val="24"/>
          <w:szCs w:val="24"/>
        </w:rPr>
        <w:t xml:space="preserve"> (Fries</w:t>
      </w:r>
      <w:r w:rsidR="006C178F">
        <w:rPr>
          <w:rFonts w:ascii="Times New Roman" w:hAnsi="Times New Roman" w:cs="Times New Roman"/>
          <w:bCs/>
          <w:sz w:val="24"/>
          <w:szCs w:val="24"/>
        </w:rPr>
        <w:t xml:space="preserve"> </w:t>
      </w:r>
      <w:r w:rsidR="00BC7940">
        <w:rPr>
          <w:rFonts w:ascii="Times New Roman" w:hAnsi="Times New Roman" w:cs="Times New Roman"/>
          <w:bCs/>
          <w:sz w:val="24"/>
          <w:szCs w:val="24"/>
        </w:rPr>
        <w:t>and</w:t>
      </w:r>
      <w:r w:rsidR="006C178F">
        <w:rPr>
          <w:rFonts w:ascii="Times New Roman" w:hAnsi="Times New Roman" w:cs="Times New Roman"/>
          <w:bCs/>
          <w:sz w:val="24"/>
          <w:szCs w:val="24"/>
        </w:rPr>
        <w:t xml:space="preserve"> </w:t>
      </w:r>
      <w:r w:rsidR="006C178F">
        <w:rPr>
          <w:rFonts w:ascii="Times New Roman" w:hAnsi="Times New Roman" w:cs="Times New Roman"/>
          <w:bCs/>
          <w:sz w:val="24"/>
        </w:rPr>
        <w:t>Hellweg</w:t>
      </w:r>
      <w:r w:rsidR="00697AF9">
        <w:rPr>
          <w:rFonts w:ascii="Times New Roman" w:hAnsi="Times New Roman" w:cs="Times New Roman"/>
          <w:bCs/>
          <w:sz w:val="24"/>
          <w:szCs w:val="24"/>
        </w:rPr>
        <w:t>, 2014</w:t>
      </w:r>
      <w:r w:rsidR="005C70A0">
        <w:rPr>
          <w:rFonts w:ascii="Times New Roman" w:hAnsi="Times New Roman" w:cs="Times New Roman"/>
          <w:bCs/>
          <w:sz w:val="24"/>
          <w:szCs w:val="24"/>
        </w:rPr>
        <w:t>; Facanha</w:t>
      </w:r>
      <w:r w:rsidR="00BC7940">
        <w:rPr>
          <w:rFonts w:ascii="Times New Roman" w:hAnsi="Times New Roman" w:cs="Times New Roman"/>
          <w:bCs/>
          <w:sz w:val="24"/>
          <w:szCs w:val="24"/>
        </w:rPr>
        <w:t xml:space="preserve"> and</w:t>
      </w:r>
      <w:r w:rsidR="00D93ADD">
        <w:rPr>
          <w:rFonts w:ascii="Times New Roman" w:hAnsi="Times New Roman" w:cs="Times New Roman"/>
          <w:bCs/>
          <w:sz w:val="24"/>
          <w:szCs w:val="24"/>
        </w:rPr>
        <w:t xml:space="preserve"> Horvath</w:t>
      </w:r>
      <w:r w:rsidR="005C70A0">
        <w:rPr>
          <w:rFonts w:ascii="Times New Roman" w:hAnsi="Times New Roman" w:cs="Times New Roman"/>
          <w:bCs/>
          <w:sz w:val="24"/>
          <w:szCs w:val="24"/>
        </w:rPr>
        <w:t>, 2006</w:t>
      </w:r>
      <w:r w:rsidR="00697AF9">
        <w:rPr>
          <w:rFonts w:ascii="Times New Roman" w:hAnsi="Times New Roman" w:cs="Times New Roman"/>
          <w:bCs/>
          <w:sz w:val="24"/>
          <w:szCs w:val="24"/>
        </w:rPr>
        <w:t>)</w:t>
      </w:r>
      <w:r w:rsidRPr="009A2E70">
        <w:rPr>
          <w:rFonts w:ascii="Times New Roman" w:hAnsi="Times New Roman" w:cs="Times New Roman"/>
          <w:bCs/>
          <w:sz w:val="24"/>
          <w:szCs w:val="24"/>
        </w:rPr>
        <w:t>. This is especially the case when electrified railway is used</w:t>
      </w:r>
      <w:r w:rsidR="00697AF9">
        <w:rPr>
          <w:rFonts w:ascii="Times New Roman" w:hAnsi="Times New Roman" w:cs="Times New Roman"/>
          <w:bCs/>
          <w:sz w:val="24"/>
          <w:szCs w:val="24"/>
        </w:rPr>
        <w:t xml:space="preserve"> </w:t>
      </w:r>
      <w:r w:rsidR="00BC7940">
        <w:rPr>
          <w:rFonts w:ascii="Times New Roman" w:hAnsi="Times New Roman" w:cs="Times New Roman"/>
          <w:sz w:val="24"/>
          <w:szCs w:val="24"/>
        </w:rPr>
        <w:t>(Spielmann and</w:t>
      </w:r>
      <w:r w:rsidR="00697AF9">
        <w:rPr>
          <w:rFonts w:ascii="Times New Roman" w:hAnsi="Times New Roman" w:cs="Times New Roman"/>
          <w:sz w:val="24"/>
          <w:szCs w:val="24"/>
        </w:rPr>
        <w:t xml:space="preserve"> Scholz, 2005)</w:t>
      </w:r>
      <w:r w:rsidRPr="009A2E70">
        <w:rPr>
          <w:rFonts w:ascii="Times New Roman" w:hAnsi="Times New Roman" w:cs="Times New Roman"/>
          <w:bCs/>
          <w:sz w:val="24"/>
          <w:szCs w:val="24"/>
        </w:rPr>
        <w:t>. But there is not always a direct rail link, so the intermodal road-rail transport is generally shown as the best alternative.</w:t>
      </w:r>
    </w:p>
    <w:p w:rsidR="002A25C3" w:rsidRPr="009A2E70" w:rsidRDefault="002A25C3" w:rsidP="001057DB">
      <w:pPr>
        <w:pStyle w:val="paragraph"/>
        <w:rPr>
          <w:rFonts w:ascii="Times New Roman" w:hAnsi="Times New Roman" w:cs="Times New Roman"/>
          <w:bCs/>
          <w:sz w:val="24"/>
          <w:szCs w:val="24"/>
        </w:rPr>
      </w:pPr>
    </w:p>
    <w:p w:rsidR="002A25C3" w:rsidRPr="009A2E70" w:rsidRDefault="002A25C3" w:rsidP="00303033">
      <w:pPr>
        <w:pStyle w:val="paragraph"/>
        <w:ind w:firstLine="0"/>
        <w:rPr>
          <w:rFonts w:ascii="Times New Roman" w:hAnsi="Times New Roman" w:cs="Times New Roman"/>
          <w:bCs/>
          <w:sz w:val="24"/>
          <w:szCs w:val="24"/>
        </w:rPr>
      </w:pPr>
      <w:r w:rsidRPr="009A2E70">
        <w:rPr>
          <w:rFonts w:ascii="Times New Roman" w:hAnsi="Times New Roman" w:cs="Times New Roman"/>
          <w:bCs/>
          <w:sz w:val="24"/>
          <w:szCs w:val="24"/>
        </w:rPr>
        <w:t>The increased demand for rail transportation raises the need for the expansion of the railroad system and the environmental effects that infrastructure construction entails should be taken into account</w:t>
      </w:r>
      <w:r w:rsidR="00FE5B4A">
        <w:rPr>
          <w:rFonts w:ascii="Times New Roman" w:hAnsi="Times New Roman" w:cs="Times New Roman"/>
          <w:bCs/>
          <w:sz w:val="24"/>
          <w:szCs w:val="24"/>
        </w:rPr>
        <w:t xml:space="preserve"> (Spielmann</w:t>
      </w:r>
      <w:r w:rsidR="00CE76D4">
        <w:rPr>
          <w:rFonts w:ascii="Times New Roman" w:hAnsi="Times New Roman" w:cs="Times New Roman"/>
          <w:bCs/>
          <w:sz w:val="24"/>
          <w:szCs w:val="24"/>
        </w:rPr>
        <w:t xml:space="preserve"> et al.</w:t>
      </w:r>
      <w:r w:rsidR="00FE5B4A">
        <w:rPr>
          <w:rFonts w:ascii="Times New Roman" w:hAnsi="Times New Roman" w:cs="Times New Roman"/>
          <w:bCs/>
          <w:sz w:val="24"/>
          <w:szCs w:val="24"/>
        </w:rPr>
        <w:t>, 2007)</w:t>
      </w:r>
      <w:r w:rsidRPr="009A2E70">
        <w:rPr>
          <w:rFonts w:ascii="Times New Roman" w:hAnsi="Times New Roman" w:cs="Times New Roman"/>
          <w:bCs/>
          <w:sz w:val="24"/>
          <w:szCs w:val="24"/>
        </w:rPr>
        <w:t xml:space="preserve">. </w:t>
      </w:r>
    </w:p>
    <w:p w:rsidR="002A25C3" w:rsidRPr="009A2E70" w:rsidRDefault="002A25C3" w:rsidP="001057DB">
      <w:pPr>
        <w:pStyle w:val="paragraph"/>
        <w:rPr>
          <w:rFonts w:ascii="Times New Roman" w:hAnsi="Times New Roman" w:cs="Times New Roman"/>
          <w:bCs/>
          <w:sz w:val="24"/>
          <w:szCs w:val="24"/>
        </w:rPr>
      </w:pPr>
    </w:p>
    <w:p w:rsidR="002A25C3" w:rsidRDefault="002A25C3" w:rsidP="00303033">
      <w:pPr>
        <w:pStyle w:val="paragraph"/>
        <w:ind w:firstLine="0"/>
        <w:rPr>
          <w:rFonts w:ascii="Times New Roman" w:hAnsi="Times New Roman" w:cs="Times New Roman"/>
          <w:bCs/>
          <w:sz w:val="24"/>
          <w:szCs w:val="24"/>
        </w:rPr>
      </w:pPr>
      <w:r w:rsidRPr="009A2E70">
        <w:rPr>
          <w:rFonts w:ascii="Times New Roman" w:hAnsi="Times New Roman" w:cs="Times New Roman"/>
          <w:bCs/>
          <w:sz w:val="24"/>
          <w:szCs w:val="24"/>
        </w:rPr>
        <w:t>Life Cycle Assessment (LCA) methodology allows us to model as best as possible the environmental impacts of several pollutants in numerous categories: CO, NOx, SOx, NMVOC, particles, and CO</w:t>
      </w:r>
      <w:r w:rsidRPr="009A2E70">
        <w:rPr>
          <w:rFonts w:ascii="Times New Roman" w:hAnsi="Times New Roman" w:cs="Times New Roman"/>
          <w:bCs/>
          <w:sz w:val="24"/>
          <w:szCs w:val="24"/>
          <w:vertAlign w:val="subscript"/>
        </w:rPr>
        <w:t>2</w:t>
      </w:r>
      <w:r w:rsidRPr="009A2E70">
        <w:rPr>
          <w:rFonts w:ascii="Times New Roman" w:hAnsi="Times New Roman" w:cs="Times New Roman"/>
          <w:bCs/>
          <w:sz w:val="24"/>
          <w:szCs w:val="24"/>
        </w:rPr>
        <w:t xml:space="preserve"> emissions.</w:t>
      </w:r>
      <w:r w:rsidR="00560721">
        <w:rPr>
          <w:rFonts w:ascii="Times New Roman" w:hAnsi="Times New Roman" w:cs="Times New Roman"/>
          <w:bCs/>
          <w:sz w:val="24"/>
          <w:szCs w:val="24"/>
        </w:rPr>
        <w:t xml:space="preserve"> </w:t>
      </w:r>
      <w:r w:rsidRPr="009A2E70">
        <w:rPr>
          <w:rFonts w:ascii="Times New Roman" w:hAnsi="Times New Roman" w:cs="Times New Roman"/>
          <w:bCs/>
          <w:sz w:val="24"/>
          <w:szCs w:val="24"/>
        </w:rPr>
        <w:t>For other categories such as accident damages, noise impact and land use, new developments have to be performed.</w:t>
      </w:r>
      <w:r w:rsidR="006D5855">
        <w:rPr>
          <w:rFonts w:ascii="Times New Roman" w:hAnsi="Times New Roman" w:cs="Times New Roman"/>
          <w:bCs/>
          <w:sz w:val="24"/>
          <w:szCs w:val="24"/>
        </w:rPr>
        <w:t xml:space="preserve"> For the </w:t>
      </w:r>
      <w:r w:rsidR="00F90457">
        <w:rPr>
          <w:rFonts w:ascii="Times New Roman" w:hAnsi="Times New Roman" w:cs="Times New Roman"/>
          <w:bCs/>
          <w:sz w:val="24"/>
          <w:szCs w:val="24"/>
        </w:rPr>
        <w:t xml:space="preserve">environmental impact </w:t>
      </w:r>
      <w:r w:rsidR="006D5855">
        <w:rPr>
          <w:rFonts w:ascii="Times New Roman" w:hAnsi="Times New Roman" w:cs="Times New Roman"/>
          <w:bCs/>
          <w:sz w:val="24"/>
          <w:szCs w:val="24"/>
        </w:rPr>
        <w:t>assessment of the Belgium rail freight intermodality, a</w:t>
      </w:r>
      <w:r w:rsidRPr="009A2E70">
        <w:rPr>
          <w:rFonts w:ascii="Times New Roman" w:hAnsi="Times New Roman" w:cs="Times New Roman"/>
          <w:bCs/>
          <w:sz w:val="24"/>
          <w:szCs w:val="24"/>
        </w:rPr>
        <w:t>ll life</w:t>
      </w:r>
      <w:r w:rsidR="006D067B">
        <w:rPr>
          <w:rFonts w:ascii="Times New Roman" w:hAnsi="Times New Roman" w:cs="Times New Roman"/>
          <w:bCs/>
          <w:sz w:val="24"/>
          <w:szCs w:val="24"/>
        </w:rPr>
        <w:t xml:space="preserve"> </w:t>
      </w:r>
      <w:r w:rsidRPr="009A2E70">
        <w:rPr>
          <w:rFonts w:ascii="Times New Roman" w:hAnsi="Times New Roman" w:cs="Times New Roman"/>
          <w:bCs/>
          <w:sz w:val="24"/>
          <w:szCs w:val="24"/>
        </w:rPr>
        <w:t>cycle phases of rail freight transport operation, rail infrastructure (construction, maintenance and disposal), and rail equipment (manufacturing, maintenance and disposal) are taken into account</w:t>
      </w:r>
      <w:r w:rsidR="00697AF9">
        <w:rPr>
          <w:rFonts w:ascii="Times New Roman" w:hAnsi="Times New Roman" w:cs="Times New Roman"/>
          <w:bCs/>
          <w:sz w:val="24"/>
          <w:szCs w:val="24"/>
        </w:rPr>
        <w:t xml:space="preserve"> (Spielmann</w:t>
      </w:r>
      <w:r w:rsidR="00480F7A">
        <w:rPr>
          <w:rFonts w:ascii="Times New Roman" w:hAnsi="Times New Roman" w:cs="Times New Roman"/>
          <w:bCs/>
          <w:sz w:val="24"/>
          <w:szCs w:val="24"/>
        </w:rPr>
        <w:t xml:space="preserve"> et al.</w:t>
      </w:r>
      <w:r w:rsidR="00697AF9">
        <w:rPr>
          <w:rFonts w:ascii="Times New Roman" w:hAnsi="Times New Roman" w:cs="Times New Roman"/>
          <w:bCs/>
          <w:sz w:val="24"/>
          <w:szCs w:val="24"/>
        </w:rPr>
        <w:t>, 2007)</w:t>
      </w:r>
      <w:r w:rsidRPr="009A2E70">
        <w:rPr>
          <w:rFonts w:ascii="Times New Roman" w:hAnsi="Times New Roman" w:cs="Times New Roman"/>
          <w:bCs/>
          <w:sz w:val="24"/>
          <w:szCs w:val="24"/>
        </w:rPr>
        <w:t xml:space="preserve">. </w:t>
      </w:r>
    </w:p>
    <w:p w:rsidR="00D71655" w:rsidRDefault="00D71655" w:rsidP="001057DB">
      <w:pPr>
        <w:pStyle w:val="paragraph"/>
        <w:rPr>
          <w:rFonts w:ascii="Times New Roman" w:hAnsi="Times New Roman" w:cs="Times New Roman"/>
          <w:bCs/>
          <w:sz w:val="24"/>
          <w:szCs w:val="24"/>
        </w:rPr>
      </w:pPr>
    </w:p>
    <w:p w:rsidR="00DD48CC" w:rsidRDefault="00DD48CC" w:rsidP="001057DB">
      <w:pPr>
        <w:pStyle w:val="paragraph"/>
        <w:ind w:firstLine="0"/>
        <w:rPr>
          <w:rFonts w:ascii="Times New Roman" w:hAnsi="Times New Roman" w:cs="Times New Roman"/>
          <w:b/>
          <w:bCs/>
          <w:sz w:val="24"/>
          <w:szCs w:val="24"/>
        </w:rPr>
      </w:pPr>
      <w:r>
        <w:rPr>
          <w:rFonts w:ascii="Times New Roman" w:hAnsi="Times New Roman" w:cs="Times New Roman"/>
          <w:b/>
          <w:bCs/>
          <w:sz w:val="24"/>
          <w:szCs w:val="24"/>
        </w:rPr>
        <w:t>Keywords</w:t>
      </w:r>
    </w:p>
    <w:p w:rsidR="00DD48CC" w:rsidRDefault="00DD48CC" w:rsidP="001057DB">
      <w:pPr>
        <w:pStyle w:val="paragraph"/>
        <w:ind w:firstLine="0"/>
        <w:rPr>
          <w:rFonts w:ascii="Times New Roman" w:hAnsi="Times New Roman" w:cs="Times New Roman"/>
          <w:b/>
          <w:bCs/>
          <w:sz w:val="24"/>
          <w:szCs w:val="24"/>
        </w:rPr>
      </w:pPr>
    </w:p>
    <w:p w:rsidR="00DD48CC" w:rsidRPr="00DD48CC" w:rsidRDefault="00AE5A44" w:rsidP="00303033">
      <w:pPr>
        <w:pStyle w:val="paragraph"/>
        <w:ind w:firstLine="0"/>
        <w:rPr>
          <w:rFonts w:ascii="Times New Roman" w:hAnsi="Times New Roman" w:cs="Times New Roman"/>
          <w:bCs/>
          <w:sz w:val="24"/>
          <w:szCs w:val="24"/>
        </w:rPr>
      </w:pPr>
      <w:r>
        <w:rPr>
          <w:rFonts w:ascii="Times New Roman" w:hAnsi="Times New Roman" w:cs="Times New Roman"/>
          <w:bCs/>
          <w:sz w:val="24"/>
          <w:szCs w:val="24"/>
        </w:rPr>
        <w:t>Environmental impact,</w:t>
      </w:r>
      <w:r w:rsidRPr="00DD48CC">
        <w:rPr>
          <w:rFonts w:ascii="Times New Roman" w:hAnsi="Times New Roman" w:cs="Times New Roman"/>
          <w:bCs/>
          <w:sz w:val="24"/>
          <w:szCs w:val="24"/>
        </w:rPr>
        <w:t xml:space="preserve"> </w:t>
      </w:r>
      <w:r>
        <w:rPr>
          <w:rFonts w:ascii="Times New Roman" w:hAnsi="Times New Roman" w:cs="Times New Roman"/>
          <w:bCs/>
          <w:sz w:val="24"/>
          <w:szCs w:val="24"/>
        </w:rPr>
        <w:t>r</w:t>
      </w:r>
      <w:r w:rsidR="00DD48CC" w:rsidRPr="00DD48CC">
        <w:rPr>
          <w:rFonts w:ascii="Times New Roman" w:hAnsi="Times New Roman" w:cs="Times New Roman"/>
          <w:bCs/>
          <w:sz w:val="24"/>
          <w:szCs w:val="24"/>
        </w:rPr>
        <w:t xml:space="preserve">ail freight, </w:t>
      </w:r>
      <w:r w:rsidR="00DD48CC">
        <w:rPr>
          <w:rFonts w:ascii="Times New Roman" w:hAnsi="Times New Roman" w:cs="Times New Roman"/>
          <w:bCs/>
          <w:sz w:val="24"/>
          <w:szCs w:val="24"/>
        </w:rPr>
        <w:t>intermodality transport</w:t>
      </w:r>
      <w:r>
        <w:rPr>
          <w:rFonts w:ascii="Times New Roman" w:hAnsi="Times New Roman" w:cs="Times New Roman"/>
          <w:bCs/>
          <w:sz w:val="24"/>
          <w:szCs w:val="24"/>
        </w:rPr>
        <w:t>.</w:t>
      </w:r>
    </w:p>
    <w:p w:rsidR="00DD48CC" w:rsidRDefault="00DD48CC" w:rsidP="001057DB">
      <w:pPr>
        <w:pStyle w:val="paragraph"/>
        <w:ind w:firstLine="0"/>
        <w:rPr>
          <w:rFonts w:ascii="Times New Roman" w:hAnsi="Times New Roman" w:cs="Times New Roman"/>
          <w:b/>
          <w:bCs/>
          <w:sz w:val="24"/>
          <w:szCs w:val="24"/>
        </w:rPr>
      </w:pPr>
    </w:p>
    <w:p w:rsidR="00FE5B4A" w:rsidRDefault="00FE5B4A" w:rsidP="001057DB">
      <w:pPr>
        <w:pStyle w:val="paragraph"/>
        <w:ind w:firstLine="0"/>
        <w:rPr>
          <w:rFonts w:ascii="Times New Roman" w:hAnsi="Times New Roman" w:cs="Times New Roman"/>
          <w:b/>
          <w:bCs/>
          <w:sz w:val="24"/>
          <w:szCs w:val="24"/>
        </w:rPr>
      </w:pPr>
    </w:p>
    <w:p w:rsidR="00FE5B4A" w:rsidRDefault="00FE5B4A" w:rsidP="001057DB">
      <w:pPr>
        <w:pStyle w:val="paragraph"/>
        <w:ind w:firstLine="0"/>
        <w:rPr>
          <w:rFonts w:ascii="Times New Roman" w:hAnsi="Times New Roman" w:cs="Times New Roman"/>
          <w:b/>
          <w:bCs/>
          <w:sz w:val="24"/>
          <w:szCs w:val="24"/>
        </w:rPr>
      </w:pPr>
    </w:p>
    <w:p w:rsidR="00261DC3" w:rsidRDefault="00261DC3" w:rsidP="001057DB">
      <w:pPr>
        <w:spacing w:after="200"/>
        <w:jc w:val="left"/>
        <w:rPr>
          <w:rFonts w:ascii="Times New Roman" w:hAnsi="Times New Roman" w:cs="Times New Roman"/>
          <w:b/>
          <w:sz w:val="24"/>
          <w:szCs w:val="24"/>
        </w:rPr>
      </w:pPr>
      <w:r w:rsidRPr="00261DC3">
        <w:rPr>
          <w:rFonts w:ascii="Times New Roman" w:hAnsi="Times New Roman" w:cs="Times New Roman"/>
          <w:b/>
          <w:sz w:val="24"/>
          <w:szCs w:val="24"/>
        </w:rPr>
        <w:lastRenderedPageBreak/>
        <w:t xml:space="preserve">1 </w:t>
      </w:r>
      <w:r w:rsidRPr="00F65800">
        <w:rPr>
          <w:rFonts w:ascii="Times New Roman" w:hAnsi="Times New Roman" w:cs="Times New Roman"/>
          <w:b/>
          <w:sz w:val="24"/>
          <w:szCs w:val="24"/>
          <w:u w:val="single"/>
        </w:rPr>
        <w:t>Introduction</w:t>
      </w:r>
    </w:p>
    <w:p w:rsidR="0034312E" w:rsidRPr="0034312E" w:rsidRDefault="004B0949" w:rsidP="0034312E">
      <w:pPr>
        <w:spacing w:after="200"/>
        <w:rPr>
          <w:rFonts w:ascii="Times New Roman" w:hAnsi="Times New Roman" w:cs="Times New Roman"/>
          <w:sz w:val="24"/>
          <w:szCs w:val="24"/>
        </w:rPr>
      </w:pPr>
      <w:r w:rsidRPr="00AC60DA">
        <w:rPr>
          <w:rFonts w:ascii="Times New Roman" w:hAnsi="Times New Roman" w:cs="Times New Roman"/>
          <w:sz w:val="24"/>
          <w:szCs w:val="24"/>
        </w:rPr>
        <w:t xml:space="preserve">The </w:t>
      </w:r>
      <w:r w:rsidR="0034312E" w:rsidRPr="0034312E">
        <w:rPr>
          <w:rFonts w:ascii="Times New Roman" w:hAnsi="Times New Roman" w:cs="Times New Roman"/>
          <w:sz w:val="24"/>
          <w:szCs w:val="24"/>
        </w:rPr>
        <w:t xml:space="preserve">European Commission’s White Paper on transport enumerates 10 strategic goals that aim to increase the rail market share. The goal 3 states: “30% of road freight over 300 km should shift to other modes such as rail or waterborne transport by 2030, and more than 50% by 2050, facilitated by efficient and green freight corridors” (European Commission, 2011). </w:t>
      </w:r>
    </w:p>
    <w:p w:rsidR="0034312E" w:rsidRPr="0034312E" w:rsidRDefault="0034312E" w:rsidP="0034312E">
      <w:pPr>
        <w:spacing w:after="200"/>
        <w:rPr>
          <w:rFonts w:ascii="Times New Roman" w:hAnsi="Times New Roman" w:cs="Times New Roman"/>
          <w:sz w:val="24"/>
          <w:szCs w:val="24"/>
        </w:rPr>
      </w:pPr>
      <w:r w:rsidRPr="0034312E">
        <w:rPr>
          <w:rFonts w:ascii="Times New Roman" w:hAnsi="Times New Roman" w:cs="Times New Roman"/>
          <w:sz w:val="24"/>
          <w:szCs w:val="24"/>
        </w:rPr>
        <w:t>The modal shift from road transport to rail freight intermodality promoted by the European Union’s transportation policy aims at reducing the environmental impact of freight transport, both by reducing pollution and improving road safety (Crozet et al., 2014). It can also contribute to transport energy efficiency and cost-effectiveness by higher carrying capacities (Lammgård, 2012).</w:t>
      </w:r>
    </w:p>
    <w:p w:rsidR="0034312E" w:rsidRPr="0034312E" w:rsidRDefault="0034312E" w:rsidP="0034312E">
      <w:pPr>
        <w:spacing w:after="200"/>
        <w:rPr>
          <w:rFonts w:ascii="Times New Roman" w:hAnsi="Times New Roman" w:cs="Times New Roman"/>
          <w:sz w:val="24"/>
          <w:szCs w:val="24"/>
        </w:rPr>
      </w:pPr>
      <w:r w:rsidRPr="0034312E">
        <w:rPr>
          <w:rFonts w:ascii="Times New Roman" w:hAnsi="Times New Roman" w:cs="Times New Roman"/>
          <w:sz w:val="24"/>
          <w:szCs w:val="24"/>
        </w:rPr>
        <w:t>Although rail freight share in Belgium has grown since 2009 (EUROSTAT, 2015), the road transport is still the dominant mode. Looking at the last available statistical data on freight transport in EUROSTAT, the modal split of freight transport (percentage in total inland freight expressed in tonne-kilometres) in 2012 to Belgium are a modal share for rail freight of 17.5%, 24.3% of inland waterways and 58.3% of road transport (EUROSTAT, 2015).</w:t>
      </w:r>
    </w:p>
    <w:p w:rsidR="0034312E" w:rsidRPr="0034312E" w:rsidRDefault="0034312E" w:rsidP="0034312E">
      <w:pPr>
        <w:spacing w:after="200"/>
        <w:rPr>
          <w:rFonts w:ascii="Times New Roman" w:hAnsi="Times New Roman" w:cs="Times New Roman"/>
          <w:sz w:val="24"/>
          <w:szCs w:val="24"/>
        </w:rPr>
      </w:pPr>
      <w:r w:rsidRPr="0034312E">
        <w:rPr>
          <w:rFonts w:ascii="Times New Roman" w:hAnsi="Times New Roman" w:cs="Times New Roman"/>
          <w:sz w:val="24"/>
          <w:szCs w:val="24"/>
        </w:rPr>
        <w:t>The rail freight transport in Belgium does not have a prominent position compared to other European countries (Van de Voorde and Vanelslander, 2014), despite the fact that Belgium meets the conditions for improving the development of the rail freight transport, such as presenting a high density of rail network (117 km of rail line per 1000 km² in 2012) and having the second freight traffic European Union seaport (Port of Antwerp) with 164,546 million of tonnes in 2012 (EUROSTAT, 2015).</w:t>
      </w:r>
    </w:p>
    <w:p w:rsidR="0034312E" w:rsidRPr="0034312E" w:rsidRDefault="0034312E" w:rsidP="0034312E">
      <w:pPr>
        <w:spacing w:after="200"/>
        <w:rPr>
          <w:rFonts w:ascii="Times New Roman" w:hAnsi="Times New Roman" w:cs="Times New Roman"/>
          <w:sz w:val="24"/>
          <w:szCs w:val="24"/>
        </w:rPr>
      </w:pPr>
      <w:r w:rsidRPr="0034312E">
        <w:rPr>
          <w:rFonts w:ascii="Times New Roman" w:hAnsi="Times New Roman" w:cs="Times New Roman"/>
          <w:sz w:val="24"/>
          <w:szCs w:val="24"/>
        </w:rPr>
        <w:t>A major opportunity of the rail freight transport is to replace road transport in journeys longer than 300 km (European Commission, 2011), but despite the fact that rail transport is more energy efficient (more fuel-efficient shipping alternative (Hendrikson et al., 2006)), road transport is more flexible, causing its dominant use (Demir et al., 2015). There is not always a direct rail link, so the intermodal road-rail transport is generally shown as the best alternative.</w:t>
      </w:r>
    </w:p>
    <w:p w:rsidR="0034312E" w:rsidRPr="0034312E" w:rsidRDefault="0034312E" w:rsidP="0034312E">
      <w:pPr>
        <w:spacing w:after="200"/>
        <w:rPr>
          <w:rFonts w:ascii="Times New Roman" w:hAnsi="Times New Roman" w:cs="Times New Roman"/>
          <w:sz w:val="24"/>
          <w:szCs w:val="24"/>
        </w:rPr>
      </w:pPr>
      <w:r w:rsidRPr="0034312E">
        <w:rPr>
          <w:rFonts w:ascii="Times New Roman" w:hAnsi="Times New Roman" w:cs="Times New Roman"/>
          <w:sz w:val="24"/>
          <w:szCs w:val="24"/>
        </w:rPr>
        <w:t xml:space="preserve">The rail could also complete the offer of the air and sea freight transport. However, two obstacles need to be addressed: on one hand, trains need to be more performant (longer, higher speeds and larger axle loads), and on the other hand, congestion bottlenecks due to the use of the same track for passenger and freight trains have to be eliminated. In order to overcome the technical problems derived from these two challenges, an investment is required (European Parliament, 2010). </w:t>
      </w:r>
    </w:p>
    <w:p w:rsidR="0034312E" w:rsidRDefault="0034312E" w:rsidP="0034312E">
      <w:pPr>
        <w:spacing w:after="200"/>
        <w:rPr>
          <w:rFonts w:ascii="Times New Roman" w:hAnsi="Times New Roman" w:cs="Times New Roman"/>
          <w:sz w:val="24"/>
          <w:szCs w:val="24"/>
        </w:rPr>
      </w:pPr>
      <w:r w:rsidRPr="0034312E">
        <w:rPr>
          <w:rFonts w:ascii="Times New Roman" w:hAnsi="Times New Roman" w:cs="Times New Roman"/>
          <w:sz w:val="24"/>
          <w:szCs w:val="24"/>
        </w:rPr>
        <w:t>In Belgium, the transport sector is the main source of greenhouse gas emissions. Including emissions from international transport (see figure 1), the transport sector constitutes 34.64% of total emissions. Almost half of the transportation emissions are caused by road transport (49.69%), assuming only 0.21% rail transport.</w:t>
      </w:r>
    </w:p>
    <w:p w:rsidR="0034312E" w:rsidRDefault="0034312E" w:rsidP="0034312E">
      <w:pPr>
        <w:spacing w:after="200"/>
        <w:rPr>
          <w:rFonts w:ascii="Times New Roman" w:hAnsi="Times New Roman" w:cs="Times New Roman"/>
          <w:sz w:val="24"/>
          <w:szCs w:val="24"/>
        </w:rPr>
      </w:pPr>
    </w:p>
    <w:p w:rsidR="00C050BE" w:rsidRDefault="00C050BE" w:rsidP="00C050BE">
      <w:pPr>
        <w:keepNext/>
        <w:spacing w:after="200"/>
      </w:pPr>
      <w:r>
        <w:rPr>
          <w:rFonts w:ascii="Times New Roman" w:hAnsi="Times New Roman" w:cs="Times New Roman"/>
          <w:b/>
          <w:noProof/>
          <w:color w:val="FF0000"/>
          <w:sz w:val="24"/>
          <w:szCs w:val="24"/>
          <w:lang w:val="fr-FR"/>
        </w:rPr>
        <w:lastRenderedPageBreak/>
        <w:drawing>
          <wp:inline distT="0" distB="0" distL="0" distR="0" wp14:anchorId="375046E6" wp14:editId="1DBCB61B">
            <wp:extent cx="5760085" cy="25444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HG Emissions by sector Beldium 2012. Including international bunkers emissions.png"/>
                    <pic:cNvPicPr/>
                  </pic:nvPicPr>
                  <pic:blipFill>
                    <a:blip r:embed="rId8">
                      <a:extLst>
                        <a:ext uri="{28A0092B-C50C-407E-A947-70E740481C1C}">
                          <a14:useLocalDpi xmlns:a14="http://schemas.microsoft.com/office/drawing/2010/main" val="0"/>
                        </a:ext>
                      </a:extLst>
                    </a:blip>
                    <a:stretch>
                      <a:fillRect/>
                    </a:stretch>
                  </pic:blipFill>
                  <pic:spPr>
                    <a:xfrm>
                      <a:off x="0" y="0"/>
                      <a:ext cx="5760085" cy="2544445"/>
                    </a:xfrm>
                    <a:prstGeom prst="rect">
                      <a:avLst/>
                    </a:prstGeom>
                  </pic:spPr>
                </pic:pic>
              </a:graphicData>
            </a:graphic>
          </wp:inline>
        </w:drawing>
      </w:r>
    </w:p>
    <w:p w:rsidR="00C050BE" w:rsidRPr="00C050BE" w:rsidRDefault="00C050BE" w:rsidP="00C050BE">
      <w:pPr>
        <w:pStyle w:val="Caption"/>
        <w:jc w:val="both"/>
        <w:rPr>
          <w:lang w:val="en-GB"/>
        </w:rPr>
      </w:pPr>
      <w:r w:rsidRPr="00C050BE">
        <w:rPr>
          <w:lang w:val="en-GB"/>
        </w:rPr>
        <w:t xml:space="preserve">Figure </w:t>
      </w:r>
      <w:r>
        <w:fldChar w:fldCharType="begin"/>
      </w:r>
      <w:r w:rsidRPr="00C050BE">
        <w:rPr>
          <w:lang w:val="en-GB"/>
        </w:rPr>
        <w:instrText xml:space="preserve"> SEQ Figure \* ARABIC </w:instrText>
      </w:r>
      <w:r>
        <w:fldChar w:fldCharType="separate"/>
      </w:r>
      <w:r w:rsidR="0034312E">
        <w:rPr>
          <w:noProof/>
          <w:lang w:val="en-GB"/>
        </w:rPr>
        <w:t>1</w:t>
      </w:r>
      <w:r>
        <w:fldChar w:fldCharType="end"/>
      </w:r>
      <w:r w:rsidRPr="00C050BE">
        <w:rPr>
          <w:lang w:val="en-GB"/>
        </w:rPr>
        <w:t>. Greenhouse gas emissions (CO</w:t>
      </w:r>
      <w:r w:rsidRPr="0034312E">
        <w:rPr>
          <w:vertAlign w:val="subscript"/>
          <w:lang w:val="en-GB"/>
        </w:rPr>
        <w:t>2</w:t>
      </w:r>
      <w:r w:rsidRPr="00C050BE">
        <w:rPr>
          <w:lang w:val="en-GB"/>
        </w:rPr>
        <w:t>, CH</w:t>
      </w:r>
      <w:r w:rsidRPr="0034312E">
        <w:rPr>
          <w:vertAlign w:val="subscript"/>
          <w:lang w:val="en-GB"/>
        </w:rPr>
        <w:t>4</w:t>
      </w:r>
      <w:r w:rsidRPr="00C050BE">
        <w:rPr>
          <w:lang w:val="en-GB"/>
        </w:rPr>
        <w:t>, N2O, SF</w:t>
      </w:r>
      <w:r w:rsidRPr="0034312E">
        <w:rPr>
          <w:vertAlign w:val="subscript"/>
          <w:lang w:val="en-GB"/>
        </w:rPr>
        <w:t>6</w:t>
      </w:r>
      <w:r w:rsidRPr="00C050BE">
        <w:rPr>
          <w:lang w:val="en-GB"/>
        </w:rPr>
        <w:t>, HFC and PFC) by sector and mode of transport in Belgium in 2012, including international bunkers emissions but excluding LULUCF (Land Use, Land-Use Change and Forestry) emissions. Source: Own elaboration based on EUROSTAT data (European Commission, 2014)</w:t>
      </w:r>
    </w:p>
    <w:p w:rsidR="0034312E" w:rsidRPr="0034312E" w:rsidRDefault="0034312E" w:rsidP="0034312E">
      <w:pPr>
        <w:spacing w:after="200"/>
        <w:rPr>
          <w:rFonts w:ascii="Times New Roman" w:hAnsi="Times New Roman" w:cs="Times New Roman"/>
          <w:sz w:val="24"/>
          <w:szCs w:val="24"/>
        </w:rPr>
      </w:pPr>
      <w:r w:rsidRPr="0034312E">
        <w:rPr>
          <w:rFonts w:ascii="Times New Roman" w:hAnsi="Times New Roman" w:cs="Times New Roman"/>
          <w:bCs/>
          <w:iCs/>
          <w:sz w:val="24"/>
          <w:szCs w:val="24"/>
        </w:rPr>
        <w:t>BRAIN-TRAINS</w:t>
      </w:r>
      <w:r w:rsidRPr="0034312E">
        <w:rPr>
          <w:rFonts w:ascii="Times New Roman" w:hAnsi="Times New Roman" w:cs="Times New Roman"/>
          <w:bCs/>
          <w:i/>
          <w:iCs/>
          <w:sz w:val="24"/>
          <w:szCs w:val="24"/>
        </w:rPr>
        <w:t xml:space="preserve"> </w:t>
      </w:r>
      <w:r w:rsidRPr="0034312E">
        <w:rPr>
          <w:rFonts w:ascii="Times New Roman" w:hAnsi="Times New Roman" w:cs="Times New Roman"/>
          <w:bCs/>
          <w:iCs/>
          <w:sz w:val="24"/>
          <w:szCs w:val="24"/>
        </w:rPr>
        <w:t xml:space="preserve">is a project supported by the Belgian Federal Government that deals with rail freight intermodality, approaching the problem from an interdisciplinary perspective. </w:t>
      </w:r>
      <w:r w:rsidRPr="0034312E">
        <w:rPr>
          <w:rFonts w:ascii="Times New Roman" w:hAnsi="Times New Roman" w:cs="Times New Roman"/>
          <w:sz w:val="24"/>
          <w:szCs w:val="24"/>
        </w:rPr>
        <w:t>The purpose of this paper is to explain how the project BRAIN-TRAINS aims at determining the environmental impact of the rail freight intermodality for several Belgian scenarios using the Life Cycle Assessment (LCA) methodology. This requires namely to have Belgian specific data that are missing nowadays.</w:t>
      </w:r>
    </w:p>
    <w:p w:rsidR="00261DC3" w:rsidRPr="00567F01" w:rsidRDefault="00261DC3" w:rsidP="001057DB">
      <w:pPr>
        <w:spacing w:after="200"/>
        <w:jc w:val="left"/>
        <w:rPr>
          <w:rFonts w:ascii="Times New Roman" w:hAnsi="Times New Roman" w:cs="Times New Roman"/>
          <w:b/>
          <w:sz w:val="24"/>
          <w:szCs w:val="24"/>
        </w:rPr>
      </w:pPr>
      <w:r w:rsidRPr="00567F01">
        <w:rPr>
          <w:rFonts w:ascii="Times New Roman" w:hAnsi="Times New Roman" w:cs="Times New Roman"/>
          <w:b/>
          <w:sz w:val="24"/>
          <w:szCs w:val="24"/>
        </w:rPr>
        <w:t xml:space="preserve">2 </w:t>
      </w:r>
      <w:r w:rsidRPr="00F65800">
        <w:rPr>
          <w:rFonts w:ascii="Times New Roman" w:hAnsi="Times New Roman" w:cs="Times New Roman"/>
          <w:b/>
          <w:sz w:val="24"/>
          <w:szCs w:val="24"/>
          <w:u w:val="single"/>
        </w:rPr>
        <w:t>Methodology</w:t>
      </w:r>
    </w:p>
    <w:p w:rsidR="0034312E" w:rsidRPr="0034312E" w:rsidRDefault="0034312E" w:rsidP="0034312E">
      <w:pPr>
        <w:spacing w:after="200"/>
        <w:rPr>
          <w:rFonts w:ascii="Times New Roman" w:hAnsi="Times New Roman" w:cs="Times New Roman"/>
          <w:sz w:val="24"/>
          <w:szCs w:val="24"/>
        </w:rPr>
      </w:pPr>
      <w:r w:rsidRPr="0034312E">
        <w:rPr>
          <w:rFonts w:ascii="Times New Roman" w:hAnsi="Times New Roman" w:cs="Times New Roman"/>
          <w:sz w:val="24"/>
          <w:szCs w:val="24"/>
        </w:rPr>
        <w:t>To analyse the sustainability impact of rail freight intermodality in Belgium, the Life Cycle Assessment (LCA) methodology will be used. LCA methodology is standardised by ISO Standards 14040 and 14044 (International Standardization Organization, 2006), being also used in Europe the ILCD Handbook (European Commission, 2010 and European Commission, 2011) as a reference to perform an LCA.</w:t>
      </w:r>
    </w:p>
    <w:p w:rsidR="0034312E" w:rsidRPr="0034312E" w:rsidRDefault="0034312E" w:rsidP="0034312E">
      <w:pPr>
        <w:spacing w:after="200"/>
        <w:rPr>
          <w:rFonts w:ascii="Times New Roman" w:hAnsi="Times New Roman" w:cs="Times New Roman"/>
          <w:sz w:val="24"/>
          <w:szCs w:val="24"/>
        </w:rPr>
      </w:pPr>
      <w:r w:rsidRPr="0034312E">
        <w:rPr>
          <w:rFonts w:ascii="Times New Roman" w:hAnsi="Times New Roman" w:cs="Times New Roman"/>
          <w:sz w:val="24"/>
          <w:szCs w:val="24"/>
        </w:rPr>
        <w:t>The LCA methodology allows us to study complex systems like intermodal transport providing a system perspective analysis that allows to assess environmental impacts through all the stages of rail freight system (rail operation, rail equipment and rail infrastructure), from raw material extraction, through material’s use to disposal. The continuous development and improvement of this methodology allows it to be up-to-date and to be a reference to model in a quantitative and multi-criteria way the environmental impacts of several pollutants in numerous categories of the railway freight intermodality.</w:t>
      </w:r>
    </w:p>
    <w:p w:rsidR="0034312E" w:rsidRPr="0034312E" w:rsidRDefault="0034312E" w:rsidP="0034312E">
      <w:pPr>
        <w:spacing w:after="200"/>
        <w:rPr>
          <w:rFonts w:ascii="Times New Roman" w:hAnsi="Times New Roman" w:cs="Times New Roman"/>
          <w:sz w:val="24"/>
          <w:szCs w:val="24"/>
        </w:rPr>
      </w:pPr>
      <w:r w:rsidRPr="0034312E">
        <w:rPr>
          <w:rFonts w:ascii="Times New Roman" w:hAnsi="Times New Roman" w:cs="Times New Roman"/>
          <w:sz w:val="24"/>
          <w:szCs w:val="24"/>
        </w:rPr>
        <w:t xml:space="preserve">Commercial databases </w:t>
      </w:r>
      <w:r w:rsidRPr="0034312E">
        <w:rPr>
          <w:rFonts w:ascii="Times New Roman" w:hAnsi="Times New Roman" w:cs="Times New Roman"/>
          <w:bCs/>
          <w:sz w:val="24"/>
          <w:szCs w:val="24"/>
          <w:lang w:val="en-US"/>
        </w:rPr>
        <w:t>as Ecoinvent (Weidema et al., 2013)</w:t>
      </w:r>
      <w:r w:rsidRPr="0034312E">
        <w:rPr>
          <w:rFonts w:ascii="Times New Roman" w:hAnsi="Times New Roman" w:cs="Times New Roman"/>
          <w:sz w:val="24"/>
          <w:szCs w:val="24"/>
        </w:rPr>
        <w:t xml:space="preserve"> have been developed to allow an easier access to the inventory of numerous processes (e.g. transportation of one ton over one km by lorry). The existing databases allow us to perform a preliminary search to guide us in identifying the most influential factors in the environmental impact of freight transport (Spielmann and Scholz, 2005). Once these are identified, we may collect the most significant </w:t>
      </w:r>
      <w:r w:rsidRPr="0034312E">
        <w:rPr>
          <w:rFonts w:ascii="Times New Roman" w:hAnsi="Times New Roman" w:cs="Times New Roman"/>
          <w:sz w:val="24"/>
          <w:szCs w:val="24"/>
        </w:rPr>
        <w:lastRenderedPageBreak/>
        <w:t>data, and develop a new database of rail freight transport in Belgium. After collecting the data, we will make a comparison of our results with the already existing and this will give us clues about how to improve the environmental performance of the rail freight transport.</w:t>
      </w:r>
    </w:p>
    <w:p w:rsidR="0034312E" w:rsidRPr="0034312E" w:rsidRDefault="0034312E" w:rsidP="0034312E">
      <w:pPr>
        <w:spacing w:after="200"/>
        <w:rPr>
          <w:rFonts w:ascii="Times New Roman" w:hAnsi="Times New Roman" w:cs="Times New Roman"/>
          <w:sz w:val="24"/>
          <w:szCs w:val="24"/>
        </w:rPr>
      </w:pPr>
      <w:r w:rsidRPr="0034312E">
        <w:rPr>
          <w:rFonts w:ascii="Times New Roman" w:hAnsi="Times New Roman" w:cs="Times New Roman"/>
          <w:sz w:val="24"/>
          <w:szCs w:val="24"/>
        </w:rPr>
        <w:t>Even if generic commercial databases are available, there are no Belgian specific commercial transportation databases and current databases should be improved and updated. One of the aims of the study is to develop a transportation database specific to Belgium to allow a better modelling of the obtained environmental impacts and to improve the specificity of the results. We will take as a model the Swiss transport database included in Ecoinvent database, which is the most comprehensive transport database available. One thing to take into consideration is that the rail freight transport in Switzerland is mainly done with electric traction which is not the case in Belgium where a combination with diesel traction appears (Spielmann et al., 2007).</w:t>
      </w:r>
    </w:p>
    <w:p w:rsidR="0034312E" w:rsidRPr="0034312E" w:rsidRDefault="0034312E" w:rsidP="0034312E">
      <w:pPr>
        <w:spacing w:after="200"/>
        <w:rPr>
          <w:rFonts w:ascii="Times New Roman" w:hAnsi="Times New Roman" w:cs="Times New Roman"/>
          <w:sz w:val="24"/>
          <w:szCs w:val="24"/>
        </w:rPr>
      </w:pPr>
      <w:r w:rsidRPr="0034312E">
        <w:rPr>
          <w:rFonts w:ascii="Times New Roman" w:hAnsi="Times New Roman" w:cs="Times New Roman"/>
          <w:sz w:val="24"/>
          <w:szCs w:val="24"/>
        </w:rPr>
        <w:t>The UNEP/SETAC Life Cycle Initiative “</w:t>
      </w:r>
      <w:r w:rsidRPr="0034312E">
        <w:rPr>
          <w:rFonts w:ascii="Times New Roman" w:hAnsi="Times New Roman" w:cs="Times New Roman"/>
          <w:i/>
          <w:sz w:val="24"/>
          <w:szCs w:val="24"/>
        </w:rPr>
        <w:t>Global Guidance Principles for Life Cycle Assessment Databases</w:t>
      </w:r>
      <w:r w:rsidRPr="0034312E">
        <w:rPr>
          <w:rFonts w:ascii="Times New Roman" w:hAnsi="Times New Roman" w:cs="Times New Roman"/>
          <w:sz w:val="24"/>
          <w:szCs w:val="24"/>
        </w:rPr>
        <w:t>” (UNEP/SETAC, 2011) and the general guidance and data collection sheets in ISO 14040 and ISO 14044 (International Standardization Organization, 2006) provide guidance to develop a new unit process dataset and they explain how to document the procedures in a structured way. The existing literature will be also taken into account, as well as the valid Product Category Rules (PCR) for railways (The International EPD® System, 2014) and the available Environmental Product Declarations (EPD).</w:t>
      </w:r>
    </w:p>
    <w:p w:rsidR="0034312E" w:rsidRPr="0034312E" w:rsidRDefault="0034312E" w:rsidP="0034312E">
      <w:pPr>
        <w:spacing w:after="200"/>
        <w:rPr>
          <w:rFonts w:ascii="Times New Roman" w:hAnsi="Times New Roman" w:cs="Times New Roman"/>
          <w:sz w:val="24"/>
          <w:szCs w:val="24"/>
        </w:rPr>
      </w:pPr>
      <w:r w:rsidRPr="0034312E">
        <w:rPr>
          <w:rFonts w:ascii="Times New Roman" w:hAnsi="Times New Roman" w:cs="Times New Roman"/>
          <w:sz w:val="24"/>
          <w:szCs w:val="24"/>
        </w:rPr>
        <w:t xml:space="preserve">Currently, there is no publication relative to the state-of-the-art for Belgian freight transportation and technical data (machine type, tracks, capacity, energy supply, etc.), having a lack of data for the assessment of transportation impacts and concerning building infrastructure. For data collection, more reliable sources of information will be identified and we will proceed to the drafting of questionnaires for the collection of information through interviews with different stakeholders (transport sector members, vehicle manufacturers, freight operators and project partners). </w:t>
      </w:r>
    </w:p>
    <w:p w:rsidR="0034312E" w:rsidRPr="0034312E" w:rsidRDefault="0034312E" w:rsidP="0034312E">
      <w:pPr>
        <w:spacing w:after="200"/>
        <w:rPr>
          <w:rFonts w:ascii="Times New Roman" w:hAnsi="Times New Roman" w:cs="Times New Roman"/>
          <w:sz w:val="24"/>
          <w:szCs w:val="24"/>
        </w:rPr>
      </w:pPr>
      <w:r w:rsidRPr="0034312E">
        <w:rPr>
          <w:rFonts w:ascii="Times New Roman" w:hAnsi="Times New Roman" w:cs="Times New Roman"/>
          <w:sz w:val="24"/>
          <w:szCs w:val="24"/>
        </w:rPr>
        <w:t>LCA studies demonstrate the importance of all life-cycle phases (infrastructure and vehicle life cycle) and not only the modelling of fuel combustion for the assessment of transport. The pre-combustion processes will become even more important than direct emission due to the introduction of new engines and emission reduction technologies (Facanha</w:t>
      </w:r>
      <w:r w:rsidRPr="0034312E">
        <w:rPr>
          <w:rFonts w:ascii="Times New Roman" w:hAnsi="Times New Roman" w:cs="Times New Roman"/>
          <w:bCs/>
          <w:sz w:val="24"/>
          <w:szCs w:val="24"/>
        </w:rPr>
        <w:t xml:space="preserve"> and Horvath</w:t>
      </w:r>
      <w:r w:rsidRPr="0034312E">
        <w:rPr>
          <w:rFonts w:ascii="Times New Roman" w:hAnsi="Times New Roman" w:cs="Times New Roman"/>
          <w:sz w:val="24"/>
          <w:szCs w:val="24"/>
        </w:rPr>
        <w:t>, 2006; Spielmann and Scholz, 2005).</w:t>
      </w:r>
    </w:p>
    <w:p w:rsidR="0034312E" w:rsidRPr="0034312E" w:rsidRDefault="0034312E" w:rsidP="0034312E">
      <w:pPr>
        <w:spacing w:after="200"/>
        <w:rPr>
          <w:rFonts w:ascii="Times New Roman" w:hAnsi="Times New Roman" w:cs="Times New Roman"/>
          <w:sz w:val="24"/>
          <w:szCs w:val="24"/>
        </w:rPr>
      </w:pPr>
      <w:r w:rsidRPr="0034312E">
        <w:rPr>
          <w:rFonts w:ascii="Times New Roman" w:hAnsi="Times New Roman" w:cs="Times New Roman"/>
          <w:sz w:val="24"/>
          <w:szCs w:val="24"/>
        </w:rPr>
        <w:t>The European TEN-T program (Trans-European Transport Network) plans to develop three corridors in Belgium, which could cause an increase in the demand for rail transportation and an expansion of the railroad network (European Commission, 2014b). The expansion of the railroad system and the environmental effects that infrastructure construction entails should be taken into account (Spielmann et al., 2007).</w:t>
      </w:r>
    </w:p>
    <w:p w:rsidR="001057DB" w:rsidRDefault="0034312E" w:rsidP="0034312E">
      <w:pPr>
        <w:spacing w:after="200"/>
        <w:rPr>
          <w:rFonts w:ascii="Times New Roman" w:hAnsi="Times New Roman" w:cs="Times New Roman"/>
          <w:sz w:val="24"/>
          <w:szCs w:val="24"/>
        </w:rPr>
      </w:pPr>
      <w:r w:rsidRPr="0034312E">
        <w:rPr>
          <w:rFonts w:ascii="Times New Roman" w:hAnsi="Times New Roman" w:cs="Times New Roman"/>
          <w:sz w:val="24"/>
          <w:szCs w:val="24"/>
        </w:rPr>
        <w:t>The rail freight system is divided in this study in direct processes (rail operation) and indirect processes (rail equipment and rail infrastructure). As shown in figure 2, all life cycle phases of rail freight transport operation, rail infrastructure (construction, maintenance and disposal), and rail equipment (manufacturing, maintenance and disposal) are taken into account (Spielmann et al., 2007).</w:t>
      </w:r>
    </w:p>
    <w:p w:rsidR="0034312E" w:rsidRDefault="0034312E" w:rsidP="0034312E">
      <w:pPr>
        <w:keepNext/>
        <w:spacing w:after="200"/>
      </w:pPr>
      <w:bookmarkStart w:id="0" w:name="_GoBack"/>
      <w:r>
        <w:rPr>
          <w:rFonts w:ascii="Times New Roman" w:hAnsi="Times New Roman" w:cs="Times New Roman"/>
          <w:noProof/>
          <w:sz w:val="24"/>
          <w:szCs w:val="24"/>
          <w:lang w:val="fr-FR"/>
        </w:rPr>
        <w:lastRenderedPageBreak/>
        <w:drawing>
          <wp:inline distT="0" distB="0" distL="0" distR="0" wp14:anchorId="6BD38783" wp14:editId="2D0296B1">
            <wp:extent cx="5760085" cy="4234180"/>
            <wp:effectExtent l="19050" t="1905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02.jpg"/>
                    <pic:cNvPicPr/>
                  </pic:nvPicPr>
                  <pic:blipFill>
                    <a:blip r:embed="rId9">
                      <a:extLst>
                        <a:ext uri="{28A0092B-C50C-407E-A947-70E740481C1C}">
                          <a14:useLocalDpi xmlns:a14="http://schemas.microsoft.com/office/drawing/2010/main" val="0"/>
                        </a:ext>
                      </a:extLst>
                    </a:blip>
                    <a:stretch>
                      <a:fillRect/>
                    </a:stretch>
                  </pic:blipFill>
                  <pic:spPr>
                    <a:xfrm>
                      <a:off x="0" y="0"/>
                      <a:ext cx="5760085" cy="4234180"/>
                    </a:xfrm>
                    <a:prstGeom prst="rect">
                      <a:avLst/>
                    </a:prstGeom>
                    <a:ln>
                      <a:solidFill>
                        <a:schemeClr val="tx1"/>
                      </a:solidFill>
                    </a:ln>
                  </pic:spPr>
                </pic:pic>
              </a:graphicData>
            </a:graphic>
          </wp:inline>
        </w:drawing>
      </w:r>
      <w:bookmarkEnd w:id="0"/>
    </w:p>
    <w:p w:rsidR="0034312E" w:rsidRPr="0034312E" w:rsidRDefault="0034312E" w:rsidP="0034312E">
      <w:pPr>
        <w:pStyle w:val="Caption"/>
        <w:jc w:val="both"/>
        <w:rPr>
          <w:rFonts w:ascii="Times New Roman" w:hAnsi="Times New Roman" w:cs="Times New Roman"/>
          <w:sz w:val="24"/>
          <w:szCs w:val="24"/>
          <w:lang w:val="en-GB"/>
        </w:rPr>
      </w:pPr>
      <w:r w:rsidRPr="0034312E">
        <w:rPr>
          <w:lang w:val="en-GB"/>
        </w:rPr>
        <w:t xml:space="preserve">Figure </w:t>
      </w:r>
      <w:r>
        <w:fldChar w:fldCharType="begin"/>
      </w:r>
      <w:r w:rsidRPr="0034312E">
        <w:rPr>
          <w:lang w:val="en-GB"/>
        </w:rPr>
        <w:instrText xml:space="preserve"> SEQ Figure \* ARABIC </w:instrText>
      </w:r>
      <w:r>
        <w:fldChar w:fldCharType="separate"/>
      </w:r>
      <w:r w:rsidRPr="0034312E">
        <w:rPr>
          <w:noProof/>
          <w:lang w:val="en-GB"/>
        </w:rPr>
        <w:t>2</w:t>
      </w:r>
      <w:r>
        <w:fldChar w:fldCharType="end"/>
      </w:r>
      <w:r w:rsidRPr="0034312E">
        <w:rPr>
          <w:lang w:val="en-GB"/>
        </w:rPr>
        <w:t>. System boundary of the study. Source: Own elaboration based on Spielmann et al., 2007; The SMARTrail Consortium, 2014 and Stripple and Uppenberg, 2010</w:t>
      </w:r>
    </w:p>
    <w:p w:rsidR="001057DB" w:rsidRPr="00F65800" w:rsidRDefault="00C2056C" w:rsidP="001057DB">
      <w:pPr>
        <w:spacing w:after="200"/>
        <w:jc w:val="left"/>
        <w:rPr>
          <w:rFonts w:ascii="Times New Roman" w:hAnsi="Times New Roman" w:cs="Times New Roman"/>
          <w:b/>
          <w:sz w:val="24"/>
          <w:szCs w:val="24"/>
        </w:rPr>
      </w:pPr>
      <w:r w:rsidRPr="00F65800">
        <w:rPr>
          <w:rFonts w:ascii="Times New Roman" w:hAnsi="Times New Roman" w:cs="Times New Roman"/>
          <w:b/>
          <w:sz w:val="24"/>
          <w:szCs w:val="24"/>
        </w:rPr>
        <w:t>2.1 Life Cycle Inventory for rail operation</w:t>
      </w:r>
    </w:p>
    <w:p w:rsidR="0034312E" w:rsidRPr="0034312E" w:rsidRDefault="0034312E" w:rsidP="0034312E">
      <w:pPr>
        <w:spacing w:after="200"/>
        <w:rPr>
          <w:rFonts w:ascii="Times New Roman" w:hAnsi="Times New Roman" w:cs="Times New Roman"/>
          <w:sz w:val="24"/>
          <w:szCs w:val="24"/>
        </w:rPr>
      </w:pPr>
      <w:r w:rsidRPr="0034312E">
        <w:rPr>
          <w:rFonts w:ascii="Times New Roman" w:hAnsi="Times New Roman" w:cs="Times New Roman"/>
          <w:sz w:val="24"/>
          <w:szCs w:val="24"/>
        </w:rPr>
        <w:t>Rail operation stage are the processes that are directly connected with the operation of trains including the energy consumption per train (share of diesel and electricity traction) and the direct emissions to air from diesel combustion (CO</w:t>
      </w:r>
      <w:r w:rsidRPr="0034312E">
        <w:rPr>
          <w:rFonts w:ascii="Times New Roman" w:hAnsi="Times New Roman" w:cs="Times New Roman"/>
          <w:sz w:val="24"/>
          <w:szCs w:val="24"/>
          <w:vertAlign w:val="subscript"/>
        </w:rPr>
        <w:t xml:space="preserve">2, </w:t>
      </w:r>
      <w:r w:rsidRPr="0034312E">
        <w:rPr>
          <w:rFonts w:ascii="Times New Roman" w:hAnsi="Times New Roman" w:cs="Times New Roman"/>
          <w:sz w:val="24"/>
          <w:szCs w:val="24"/>
        </w:rPr>
        <w:t xml:space="preserve">CO, NOx, SOx, NMVOC and particles emissions) or from electricity consumption (SF6 emitted during conversion at traction substations) and direct emission to soil of iron due to abrasion from braking (rail tracks, wheels and brakes) and lining (overhead contact line) (Spielmann et al., 2007). </w:t>
      </w:r>
    </w:p>
    <w:p w:rsidR="0034312E" w:rsidRPr="0034312E" w:rsidRDefault="0034312E" w:rsidP="0034312E">
      <w:pPr>
        <w:spacing w:after="200"/>
        <w:rPr>
          <w:rFonts w:ascii="Times New Roman" w:hAnsi="Times New Roman" w:cs="Times New Roman"/>
          <w:sz w:val="24"/>
          <w:szCs w:val="24"/>
        </w:rPr>
      </w:pPr>
      <w:r w:rsidRPr="0034312E">
        <w:rPr>
          <w:rFonts w:ascii="Times New Roman" w:hAnsi="Times New Roman" w:cs="Times New Roman"/>
          <w:sz w:val="24"/>
          <w:szCs w:val="24"/>
        </w:rPr>
        <w:t>There are 13 rail freight operators and traction companies in Belgium, which could lead to some difficulties to obtain consolidated data regarding rail operation and equipment. In 2012, SNCB Logistics (the public company of freight transport) market share was 86.62% of tkm (Van de Voorde and Vanelslander, 2014), which should facilitate the collection of representative data.</w:t>
      </w:r>
    </w:p>
    <w:p w:rsidR="0034312E" w:rsidRPr="0034312E" w:rsidRDefault="0034312E" w:rsidP="0034312E">
      <w:pPr>
        <w:spacing w:after="200"/>
        <w:rPr>
          <w:rFonts w:ascii="Times New Roman" w:hAnsi="Times New Roman" w:cs="Times New Roman"/>
          <w:sz w:val="24"/>
          <w:szCs w:val="24"/>
        </w:rPr>
      </w:pPr>
      <w:r w:rsidRPr="0034312E">
        <w:rPr>
          <w:rFonts w:ascii="Times New Roman" w:hAnsi="Times New Roman" w:cs="Times New Roman"/>
          <w:sz w:val="24"/>
          <w:szCs w:val="24"/>
        </w:rPr>
        <w:t xml:space="preserve">Rail freight transport consumes much energy, being the source of this energy one of the key factors for rail sustainable transport (Reis et al., 2013). Rail transport is gradually changing the use of diesel engines for electricity power (EEA, 2008). Moreover, using electrical energy </w:t>
      </w:r>
      <w:r w:rsidRPr="0034312E">
        <w:rPr>
          <w:rFonts w:ascii="Times New Roman" w:hAnsi="Times New Roman" w:cs="Times New Roman"/>
          <w:sz w:val="24"/>
          <w:szCs w:val="24"/>
        </w:rPr>
        <w:lastRenderedPageBreak/>
        <w:t>coming from renewable sources would be one of the main opportunities for improvement (McKin</w:t>
      </w:r>
      <w:r w:rsidRPr="0034312E">
        <w:rPr>
          <w:rFonts w:ascii="Times New Roman" w:hAnsi="Times New Roman" w:cs="Times New Roman"/>
          <w:b/>
          <w:sz w:val="24"/>
          <w:szCs w:val="24"/>
        </w:rPr>
        <w:t>n</w:t>
      </w:r>
      <w:r w:rsidRPr="0034312E">
        <w:rPr>
          <w:rFonts w:ascii="Times New Roman" w:hAnsi="Times New Roman" w:cs="Times New Roman"/>
          <w:sz w:val="24"/>
          <w:szCs w:val="24"/>
        </w:rPr>
        <w:t>on et al., 2015).</w:t>
      </w:r>
    </w:p>
    <w:p w:rsidR="00642C30" w:rsidRPr="000B3F7B" w:rsidRDefault="0034312E" w:rsidP="0034312E">
      <w:pPr>
        <w:spacing w:after="200"/>
        <w:rPr>
          <w:rFonts w:ascii="Times New Roman" w:hAnsi="Times New Roman" w:cs="Times New Roman"/>
          <w:sz w:val="24"/>
          <w:szCs w:val="24"/>
        </w:rPr>
      </w:pPr>
      <w:r w:rsidRPr="0034312E">
        <w:rPr>
          <w:rFonts w:ascii="Times New Roman" w:hAnsi="Times New Roman" w:cs="Times New Roman"/>
          <w:sz w:val="24"/>
          <w:szCs w:val="24"/>
        </w:rPr>
        <w:t>The Benelux countries registered the highest share of electrified network in the European Union in 2012, with 95.3% of length of lines in use electrified in Luxembourg, 85.5% in Belgium (3064 km of 3582 km) and 72.2% in Netherlands. The only European country with 100% of electrified network is Switzerland (European Commission, 2014).</w:t>
      </w:r>
    </w:p>
    <w:p w:rsidR="00261DC3" w:rsidRPr="00F65800" w:rsidRDefault="00C2056C" w:rsidP="001057DB">
      <w:pPr>
        <w:spacing w:after="200"/>
        <w:jc w:val="left"/>
        <w:rPr>
          <w:rFonts w:ascii="Times New Roman" w:hAnsi="Times New Roman" w:cs="Times New Roman"/>
          <w:b/>
          <w:sz w:val="24"/>
          <w:szCs w:val="24"/>
        </w:rPr>
      </w:pPr>
      <w:r w:rsidRPr="00F65800">
        <w:rPr>
          <w:rFonts w:ascii="Times New Roman" w:hAnsi="Times New Roman" w:cs="Times New Roman"/>
          <w:b/>
          <w:sz w:val="24"/>
          <w:szCs w:val="24"/>
        </w:rPr>
        <w:t>2.</w:t>
      </w:r>
      <w:r w:rsidR="00261DC3" w:rsidRPr="00F65800">
        <w:rPr>
          <w:rFonts w:ascii="Times New Roman" w:hAnsi="Times New Roman" w:cs="Times New Roman"/>
          <w:b/>
          <w:sz w:val="24"/>
          <w:szCs w:val="24"/>
        </w:rPr>
        <w:t xml:space="preserve">2 </w:t>
      </w:r>
      <w:r w:rsidRPr="00F65800">
        <w:rPr>
          <w:rFonts w:ascii="Times New Roman" w:hAnsi="Times New Roman" w:cs="Times New Roman"/>
          <w:b/>
          <w:sz w:val="24"/>
          <w:szCs w:val="24"/>
        </w:rPr>
        <w:t>Life Cycle Inventory for rail equipment</w:t>
      </w:r>
    </w:p>
    <w:p w:rsidR="00B13AC0" w:rsidRDefault="00160604" w:rsidP="001057DB">
      <w:pPr>
        <w:spacing w:after="200"/>
        <w:rPr>
          <w:rFonts w:ascii="Times New Roman" w:hAnsi="Times New Roman" w:cs="Times New Roman"/>
          <w:sz w:val="24"/>
          <w:szCs w:val="24"/>
        </w:rPr>
      </w:pPr>
      <w:r w:rsidRPr="00F4456A">
        <w:rPr>
          <w:rFonts w:ascii="Times New Roman" w:hAnsi="Times New Roman" w:cs="Times New Roman"/>
          <w:sz w:val="24"/>
          <w:szCs w:val="24"/>
        </w:rPr>
        <w:t xml:space="preserve">Rail </w:t>
      </w:r>
      <w:r w:rsidR="0034312E" w:rsidRPr="0034312E">
        <w:rPr>
          <w:rFonts w:ascii="Times New Roman" w:hAnsi="Times New Roman" w:cs="Times New Roman"/>
          <w:bCs/>
          <w:sz w:val="24"/>
          <w:szCs w:val="24"/>
        </w:rPr>
        <w:t>equipment stage includes the processes that are connected with the vehicle life cycle (locomotives and rail wagons, excluding the operation) currently used such as manufacturing, maintenance (e.g. consumption on wheels, break shoes, paint, cleaning agents, lubricates, etc. and waste process) and disposal (Spielmann et al., 2007). Belgium has a stock of 1266 locomotives and railcars and 11612 goods transport wagons (European Commission, 2014).</w:t>
      </w:r>
    </w:p>
    <w:p w:rsidR="00261DC3" w:rsidRPr="00F65800" w:rsidRDefault="00C2056C" w:rsidP="001057DB">
      <w:pPr>
        <w:spacing w:after="200"/>
        <w:jc w:val="left"/>
        <w:rPr>
          <w:rFonts w:ascii="Times New Roman" w:hAnsi="Times New Roman" w:cs="Times New Roman"/>
          <w:b/>
          <w:sz w:val="24"/>
          <w:szCs w:val="24"/>
        </w:rPr>
      </w:pPr>
      <w:r w:rsidRPr="00F65800">
        <w:rPr>
          <w:rFonts w:ascii="Times New Roman" w:hAnsi="Times New Roman" w:cs="Times New Roman"/>
          <w:b/>
          <w:sz w:val="24"/>
          <w:szCs w:val="24"/>
        </w:rPr>
        <w:t>2.</w:t>
      </w:r>
      <w:r w:rsidR="00261DC3" w:rsidRPr="00F65800">
        <w:rPr>
          <w:rFonts w:ascii="Times New Roman" w:hAnsi="Times New Roman" w:cs="Times New Roman"/>
          <w:b/>
          <w:sz w:val="24"/>
          <w:szCs w:val="24"/>
        </w:rPr>
        <w:t>3</w:t>
      </w:r>
      <w:r w:rsidRPr="00F65800">
        <w:rPr>
          <w:rFonts w:ascii="Times New Roman" w:hAnsi="Times New Roman" w:cs="Times New Roman"/>
          <w:b/>
          <w:sz w:val="24"/>
          <w:szCs w:val="24"/>
        </w:rPr>
        <w:t xml:space="preserve"> Life Cycle Inventory for rail infrastructure</w:t>
      </w:r>
    </w:p>
    <w:p w:rsidR="0034312E" w:rsidRPr="0034312E" w:rsidRDefault="009D2ECF" w:rsidP="0034312E">
      <w:pPr>
        <w:spacing w:after="200"/>
        <w:rPr>
          <w:rFonts w:ascii="Times New Roman" w:hAnsi="Times New Roman" w:cs="Times New Roman"/>
          <w:bCs/>
          <w:sz w:val="24"/>
          <w:szCs w:val="24"/>
        </w:rPr>
      </w:pPr>
      <w:r>
        <w:rPr>
          <w:rFonts w:ascii="Times New Roman" w:hAnsi="Times New Roman" w:cs="Times New Roman"/>
          <w:sz w:val="24"/>
          <w:szCs w:val="24"/>
        </w:rPr>
        <w:t xml:space="preserve">To </w:t>
      </w:r>
      <w:r w:rsidR="0034312E" w:rsidRPr="0034312E">
        <w:rPr>
          <w:rFonts w:ascii="Times New Roman" w:hAnsi="Times New Roman" w:cs="Times New Roman"/>
          <w:bCs/>
          <w:sz w:val="24"/>
          <w:szCs w:val="24"/>
        </w:rPr>
        <w:t>facilitate the data collection, the rail infrastructure stage has been divided into four parts: railway track system (railway track and railway track foundation), railway bridges, railway tunnels and railway electrical equipment (electric power supply, telecommunication and signal and communication). For all parts, the construction, maintenance and finally disposal is taken into account (Spielmann et al., 2007).</w:t>
      </w:r>
    </w:p>
    <w:p w:rsidR="0034312E" w:rsidRPr="0034312E" w:rsidRDefault="0034312E" w:rsidP="0034312E">
      <w:pPr>
        <w:spacing w:after="200"/>
        <w:rPr>
          <w:rFonts w:ascii="Times New Roman" w:hAnsi="Times New Roman" w:cs="Times New Roman"/>
          <w:bCs/>
          <w:sz w:val="24"/>
          <w:szCs w:val="24"/>
        </w:rPr>
      </w:pPr>
      <w:r w:rsidRPr="0034312E">
        <w:rPr>
          <w:rFonts w:ascii="Times New Roman" w:hAnsi="Times New Roman" w:cs="Times New Roman"/>
          <w:bCs/>
          <w:sz w:val="24"/>
          <w:szCs w:val="24"/>
        </w:rPr>
        <w:t>In order to make the rail infrastructure system more understandable, each of the four parts is divided in turn into different stages (see table 1). In each stage (except general groundwork stage) we analyse its characteristics, transport to the place of construction of the track, railway bridge or railway tunnel, the construction works related to each stage, the maintenance works (included the transport of new material and machines) and the end of life of each material (The SMARTrail Consortium, 2014).</w:t>
      </w:r>
    </w:p>
    <w:p w:rsidR="0034312E" w:rsidRPr="0034312E" w:rsidRDefault="0034312E" w:rsidP="0034312E">
      <w:pPr>
        <w:spacing w:after="200"/>
        <w:rPr>
          <w:rFonts w:ascii="Times New Roman" w:hAnsi="Times New Roman" w:cs="Times New Roman"/>
          <w:bCs/>
          <w:sz w:val="24"/>
          <w:szCs w:val="24"/>
        </w:rPr>
      </w:pPr>
      <w:r w:rsidRPr="0034312E">
        <w:rPr>
          <w:rFonts w:ascii="Times New Roman" w:hAnsi="Times New Roman" w:cs="Times New Roman"/>
          <w:bCs/>
          <w:sz w:val="24"/>
          <w:szCs w:val="24"/>
        </w:rPr>
        <w:t>Common use of infrastructure between passengers and freight transportation entails the difficulty of the distribution of each impact between each type of transport. For rail infrastructure, allocation between passenger and goods transportation is unavoidable (Spielmann and Scholz, 2005).</w:t>
      </w:r>
    </w:p>
    <w:p w:rsidR="00BA1515" w:rsidRDefault="00BA1515" w:rsidP="0034312E">
      <w:pPr>
        <w:spacing w:after="200"/>
        <w:rPr>
          <w:rFonts w:ascii="Times New Roman" w:hAnsi="Times New Roman" w:cs="Times New Roman"/>
          <w:sz w:val="24"/>
          <w:szCs w:val="24"/>
        </w:rPr>
      </w:pPr>
    </w:p>
    <w:p w:rsidR="00DC4A4F" w:rsidRDefault="00DC4A4F" w:rsidP="00540C84">
      <w:pPr>
        <w:spacing w:after="200"/>
        <w:rPr>
          <w:rFonts w:ascii="Times New Roman" w:hAnsi="Times New Roman" w:cs="Times New Roman"/>
          <w:sz w:val="24"/>
          <w:szCs w:val="24"/>
        </w:rPr>
      </w:pPr>
    </w:p>
    <w:p w:rsidR="00DC4A4F" w:rsidRDefault="00DC4A4F">
      <w:pPr>
        <w:spacing w:after="200" w:line="276" w:lineRule="auto"/>
        <w:jc w:val="left"/>
        <w:rPr>
          <w:rFonts w:asciiTheme="minorHAnsi" w:eastAsiaTheme="minorHAnsi" w:hAnsiTheme="minorHAnsi" w:cstheme="minorBidi"/>
          <w:i/>
          <w:iCs/>
          <w:color w:val="1F497D" w:themeColor="text2"/>
          <w:sz w:val="18"/>
          <w:szCs w:val="18"/>
          <w:lang w:eastAsia="en-US"/>
        </w:rPr>
      </w:pPr>
      <w:r>
        <w:br w:type="page"/>
      </w:r>
    </w:p>
    <w:p w:rsidR="00190D67" w:rsidRPr="00586870" w:rsidRDefault="00190D67" w:rsidP="00190D67">
      <w:pPr>
        <w:pStyle w:val="Caption"/>
        <w:keepNext/>
        <w:rPr>
          <w:lang w:val="en-GB"/>
        </w:rPr>
      </w:pPr>
      <w:r w:rsidRPr="00190D67">
        <w:rPr>
          <w:lang w:val="en-GB"/>
        </w:rPr>
        <w:lastRenderedPageBreak/>
        <w:t xml:space="preserve">Table </w:t>
      </w:r>
      <w:r>
        <w:fldChar w:fldCharType="begin"/>
      </w:r>
      <w:r w:rsidRPr="00190D67">
        <w:rPr>
          <w:lang w:val="en-GB"/>
        </w:rPr>
        <w:instrText xml:space="preserve"> SEQ Table \* ARABIC </w:instrText>
      </w:r>
      <w:r>
        <w:fldChar w:fldCharType="separate"/>
      </w:r>
      <w:r w:rsidR="00E7358F">
        <w:rPr>
          <w:noProof/>
          <w:lang w:val="en-GB"/>
        </w:rPr>
        <w:t>1</w:t>
      </w:r>
      <w:r>
        <w:fldChar w:fldCharType="end"/>
      </w:r>
      <w:r w:rsidRPr="00190D67">
        <w:rPr>
          <w:lang w:val="en-GB"/>
        </w:rPr>
        <w:t xml:space="preserve">. Life Cycle Inventory for rail transport. </w:t>
      </w:r>
      <w:r w:rsidRPr="00586870">
        <w:rPr>
          <w:lang w:val="en-GB"/>
        </w:rPr>
        <w:t>Source: Own elaboration based on Spielmann</w:t>
      </w:r>
      <w:r w:rsidR="00480F7A" w:rsidRPr="00480F7A">
        <w:rPr>
          <w:bCs/>
          <w:lang w:val="en-GB"/>
        </w:rPr>
        <w:t xml:space="preserve"> et al.</w:t>
      </w:r>
      <w:r w:rsidRPr="00586870">
        <w:rPr>
          <w:lang w:val="en-GB"/>
        </w:rPr>
        <w:t xml:space="preserve">, 2007; </w:t>
      </w:r>
      <w:r w:rsidRPr="00190D67">
        <w:rPr>
          <w:lang w:val="en-GB"/>
        </w:rPr>
        <w:t>The SMARTrail Consortium, 2014</w:t>
      </w:r>
      <w:r w:rsidR="00586870">
        <w:rPr>
          <w:lang w:val="en-GB"/>
        </w:rPr>
        <w:t xml:space="preserve"> and Stripple</w:t>
      </w:r>
      <w:r w:rsidR="00BC7940" w:rsidRPr="00BC7940">
        <w:rPr>
          <w:rFonts w:ascii="Times New Roman" w:eastAsia="Times New Roman" w:hAnsi="Times New Roman" w:cs="Times New Roman"/>
          <w:i w:val="0"/>
          <w:iCs w:val="0"/>
          <w:color w:val="auto"/>
          <w:sz w:val="24"/>
          <w:szCs w:val="24"/>
          <w:lang w:val="en-GB" w:eastAsia="fr-FR"/>
        </w:rPr>
        <w:t xml:space="preserve"> </w:t>
      </w:r>
      <w:r w:rsidR="00BC7940" w:rsidRPr="00BC7940">
        <w:rPr>
          <w:lang w:val="en-GB"/>
        </w:rPr>
        <w:t>and Uppenberg</w:t>
      </w:r>
      <w:r w:rsidR="00586870">
        <w:rPr>
          <w:lang w:val="en-GB"/>
        </w:rPr>
        <w:t>, 2010.</w:t>
      </w:r>
    </w:p>
    <w:tbl>
      <w:tblPr>
        <w:tblStyle w:val="TableGrid"/>
        <w:tblW w:w="9640" w:type="dxa"/>
        <w:jc w:val="center"/>
        <w:tblLayout w:type="fixed"/>
        <w:tblLook w:val="04A0" w:firstRow="1" w:lastRow="0" w:firstColumn="1" w:lastColumn="0" w:noHBand="0" w:noVBand="1"/>
      </w:tblPr>
      <w:tblGrid>
        <w:gridCol w:w="1443"/>
        <w:gridCol w:w="1414"/>
        <w:gridCol w:w="1412"/>
        <w:gridCol w:w="1588"/>
        <w:gridCol w:w="3783"/>
      </w:tblGrid>
      <w:tr w:rsidR="00F51913" w:rsidRPr="00586870" w:rsidTr="008D0F77">
        <w:trPr>
          <w:jc w:val="center"/>
        </w:trPr>
        <w:tc>
          <w:tcPr>
            <w:tcW w:w="1443" w:type="dxa"/>
            <w:vMerge w:val="restart"/>
            <w:vAlign w:val="center"/>
          </w:tcPr>
          <w:p w:rsidR="00F51913" w:rsidRPr="00586870" w:rsidRDefault="00F51913" w:rsidP="00F51913">
            <w:pPr>
              <w:spacing w:after="200"/>
              <w:jc w:val="center"/>
              <w:rPr>
                <w:rFonts w:ascii="Times New Roman" w:hAnsi="Times New Roman" w:cs="Times New Roman"/>
                <w:szCs w:val="20"/>
              </w:rPr>
            </w:pPr>
            <w:r w:rsidRPr="00586870">
              <w:rPr>
                <w:rFonts w:ascii="Times New Roman" w:hAnsi="Times New Roman" w:cs="Times New Roman"/>
                <w:szCs w:val="20"/>
              </w:rPr>
              <w:t>Life Cycle Inventory for rail transport</w:t>
            </w:r>
          </w:p>
        </w:tc>
        <w:tc>
          <w:tcPr>
            <w:tcW w:w="1414" w:type="dxa"/>
            <w:vMerge w:val="restart"/>
            <w:vAlign w:val="center"/>
          </w:tcPr>
          <w:p w:rsidR="00F51913" w:rsidRPr="00586870" w:rsidRDefault="00F51913" w:rsidP="00F51913">
            <w:pPr>
              <w:spacing w:after="200"/>
              <w:jc w:val="center"/>
              <w:rPr>
                <w:rFonts w:ascii="Times New Roman" w:hAnsi="Times New Roman" w:cs="Times New Roman"/>
                <w:szCs w:val="20"/>
              </w:rPr>
            </w:pPr>
            <w:r w:rsidRPr="00586870">
              <w:rPr>
                <w:rFonts w:ascii="Times New Roman" w:hAnsi="Times New Roman" w:cs="Times New Roman"/>
                <w:szCs w:val="20"/>
              </w:rPr>
              <w:t>Rail Operation</w:t>
            </w:r>
          </w:p>
        </w:tc>
        <w:tc>
          <w:tcPr>
            <w:tcW w:w="3000" w:type="dxa"/>
            <w:gridSpan w:val="2"/>
            <w:vAlign w:val="center"/>
          </w:tcPr>
          <w:p w:rsidR="00F51913" w:rsidRPr="00586870" w:rsidRDefault="00F51913" w:rsidP="00F51913">
            <w:pPr>
              <w:spacing w:after="200"/>
              <w:jc w:val="center"/>
              <w:rPr>
                <w:rFonts w:ascii="Times New Roman" w:hAnsi="Times New Roman" w:cs="Times New Roman"/>
                <w:szCs w:val="20"/>
              </w:rPr>
            </w:pPr>
            <w:r w:rsidRPr="00586870">
              <w:rPr>
                <w:rFonts w:ascii="Times New Roman" w:hAnsi="Times New Roman" w:cs="Times New Roman"/>
                <w:szCs w:val="20"/>
              </w:rPr>
              <w:t>Energy consumption</w:t>
            </w:r>
          </w:p>
        </w:tc>
        <w:tc>
          <w:tcPr>
            <w:tcW w:w="3783" w:type="dxa"/>
            <w:vAlign w:val="center"/>
          </w:tcPr>
          <w:p w:rsidR="00F51913" w:rsidRPr="00586870" w:rsidRDefault="00F51913" w:rsidP="00F51913">
            <w:pPr>
              <w:spacing w:after="200"/>
              <w:jc w:val="left"/>
              <w:rPr>
                <w:rFonts w:ascii="Times New Roman" w:hAnsi="Times New Roman" w:cs="Times New Roman"/>
                <w:sz w:val="20"/>
                <w:szCs w:val="20"/>
              </w:rPr>
            </w:pPr>
          </w:p>
        </w:tc>
      </w:tr>
      <w:tr w:rsidR="00F51913" w:rsidRPr="00586870" w:rsidTr="008D0F77">
        <w:trPr>
          <w:jc w:val="center"/>
        </w:trPr>
        <w:tc>
          <w:tcPr>
            <w:tcW w:w="1443" w:type="dxa"/>
            <w:vMerge/>
            <w:vAlign w:val="center"/>
          </w:tcPr>
          <w:p w:rsidR="00F51913" w:rsidRPr="00586870" w:rsidRDefault="00F51913" w:rsidP="00F51913">
            <w:pPr>
              <w:spacing w:after="200"/>
              <w:jc w:val="center"/>
              <w:rPr>
                <w:rFonts w:ascii="Times New Roman" w:hAnsi="Times New Roman" w:cs="Times New Roman"/>
                <w:szCs w:val="20"/>
              </w:rPr>
            </w:pPr>
          </w:p>
        </w:tc>
        <w:tc>
          <w:tcPr>
            <w:tcW w:w="1414" w:type="dxa"/>
            <w:vMerge/>
            <w:vAlign w:val="center"/>
          </w:tcPr>
          <w:p w:rsidR="00F51913" w:rsidRPr="00586870" w:rsidRDefault="00F51913" w:rsidP="00F51913">
            <w:pPr>
              <w:spacing w:after="200"/>
              <w:jc w:val="center"/>
              <w:rPr>
                <w:rFonts w:ascii="Times New Roman" w:hAnsi="Times New Roman" w:cs="Times New Roman"/>
                <w:szCs w:val="20"/>
              </w:rPr>
            </w:pPr>
          </w:p>
        </w:tc>
        <w:tc>
          <w:tcPr>
            <w:tcW w:w="3000" w:type="dxa"/>
            <w:gridSpan w:val="2"/>
            <w:vAlign w:val="center"/>
          </w:tcPr>
          <w:p w:rsidR="00F51913" w:rsidRPr="00586870" w:rsidRDefault="00F51913" w:rsidP="00F51913">
            <w:pPr>
              <w:spacing w:after="200"/>
              <w:jc w:val="center"/>
              <w:rPr>
                <w:rFonts w:ascii="Times New Roman" w:hAnsi="Times New Roman" w:cs="Times New Roman"/>
                <w:szCs w:val="20"/>
              </w:rPr>
            </w:pPr>
            <w:r w:rsidRPr="00586870">
              <w:rPr>
                <w:rFonts w:ascii="Times New Roman" w:hAnsi="Times New Roman" w:cs="Times New Roman"/>
                <w:szCs w:val="20"/>
              </w:rPr>
              <w:t>Direct emissions</w:t>
            </w:r>
          </w:p>
        </w:tc>
        <w:tc>
          <w:tcPr>
            <w:tcW w:w="3783" w:type="dxa"/>
            <w:vAlign w:val="center"/>
          </w:tcPr>
          <w:p w:rsidR="00F51913" w:rsidRPr="00586870" w:rsidRDefault="00F51913" w:rsidP="00F51913">
            <w:pPr>
              <w:spacing w:after="200"/>
              <w:jc w:val="left"/>
              <w:rPr>
                <w:rFonts w:ascii="Times New Roman" w:hAnsi="Times New Roman" w:cs="Times New Roman"/>
                <w:sz w:val="20"/>
                <w:szCs w:val="20"/>
              </w:rPr>
            </w:pPr>
          </w:p>
        </w:tc>
      </w:tr>
      <w:tr w:rsidR="00A042AF" w:rsidRPr="00586870" w:rsidTr="008D0F77">
        <w:trPr>
          <w:jc w:val="center"/>
        </w:trPr>
        <w:tc>
          <w:tcPr>
            <w:tcW w:w="1443" w:type="dxa"/>
            <w:vMerge/>
            <w:vAlign w:val="center"/>
          </w:tcPr>
          <w:p w:rsidR="00A042AF" w:rsidRPr="00586870" w:rsidRDefault="00A042AF" w:rsidP="00F51913">
            <w:pPr>
              <w:spacing w:after="200"/>
              <w:jc w:val="center"/>
              <w:rPr>
                <w:rFonts w:ascii="Times New Roman" w:hAnsi="Times New Roman" w:cs="Times New Roman"/>
                <w:szCs w:val="20"/>
              </w:rPr>
            </w:pPr>
          </w:p>
        </w:tc>
        <w:tc>
          <w:tcPr>
            <w:tcW w:w="1414" w:type="dxa"/>
            <w:vMerge w:val="restart"/>
            <w:vAlign w:val="center"/>
          </w:tcPr>
          <w:p w:rsidR="00A042AF" w:rsidRPr="00586870" w:rsidRDefault="00A042AF" w:rsidP="00F51913">
            <w:pPr>
              <w:spacing w:after="200"/>
              <w:jc w:val="center"/>
              <w:rPr>
                <w:rFonts w:ascii="Times New Roman" w:hAnsi="Times New Roman" w:cs="Times New Roman"/>
                <w:szCs w:val="20"/>
              </w:rPr>
            </w:pPr>
            <w:r w:rsidRPr="00586870">
              <w:rPr>
                <w:rFonts w:ascii="Times New Roman" w:hAnsi="Times New Roman" w:cs="Times New Roman"/>
                <w:szCs w:val="20"/>
              </w:rPr>
              <w:t>Rail Equipment</w:t>
            </w:r>
          </w:p>
        </w:tc>
        <w:tc>
          <w:tcPr>
            <w:tcW w:w="3000" w:type="dxa"/>
            <w:gridSpan w:val="2"/>
            <w:vAlign w:val="center"/>
          </w:tcPr>
          <w:p w:rsidR="00A042AF" w:rsidRPr="00586870" w:rsidRDefault="00A042AF" w:rsidP="00F51913">
            <w:pPr>
              <w:spacing w:after="200"/>
              <w:jc w:val="center"/>
              <w:rPr>
                <w:rFonts w:ascii="Times New Roman" w:hAnsi="Times New Roman" w:cs="Times New Roman"/>
                <w:szCs w:val="20"/>
              </w:rPr>
            </w:pPr>
            <w:r w:rsidRPr="00586870">
              <w:rPr>
                <w:rFonts w:ascii="Times New Roman" w:hAnsi="Times New Roman" w:cs="Times New Roman"/>
                <w:szCs w:val="20"/>
              </w:rPr>
              <w:t>Locomotives and railcars</w:t>
            </w:r>
          </w:p>
        </w:tc>
        <w:tc>
          <w:tcPr>
            <w:tcW w:w="3783" w:type="dxa"/>
            <w:vAlign w:val="center"/>
          </w:tcPr>
          <w:p w:rsidR="00A042AF" w:rsidRPr="00586870" w:rsidRDefault="00A042AF" w:rsidP="00F51913">
            <w:pPr>
              <w:spacing w:after="200"/>
              <w:jc w:val="left"/>
              <w:rPr>
                <w:rFonts w:ascii="Times New Roman" w:hAnsi="Times New Roman" w:cs="Times New Roman"/>
                <w:sz w:val="20"/>
                <w:szCs w:val="20"/>
              </w:rPr>
            </w:pPr>
          </w:p>
        </w:tc>
      </w:tr>
      <w:tr w:rsidR="00A042AF" w:rsidRPr="00586870" w:rsidTr="008D0F77">
        <w:trPr>
          <w:jc w:val="center"/>
        </w:trPr>
        <w:tc>
          <w:tcPr>
            <w:tcW w:w="1443" w:type="dxa"/>
            <w:vMerge/>
            <w:vAlign w:val="center"/>
          </w:tcPr>
          <w:p w:rsidR="00A042AF" w:rsidRPr="00586870" w:rsidRDefault="00A042AF" w:rsidP="00F51913">
            <w:pPr>
              <w:spacing w:after="200"/>
              <w:jc w:val="center"/>
              <w:rPr>
                <w:rFonts w:ascii="Times New Roman" w:hAnsi="Times New Roman" w:cs="Times New Roman"/>
                <w:szCs w:val="20"/>
              </w:rPr>
            </w:pPr>
          </w:p>
        </w:tc>
        <w:tc>
          <w:tcPr>
            <w:tcW w:w="1414" w:type="dxa"/>
            <w:vMerge/>
            <w:vAlign w:val="center"/>
          </w:tcPr>
          <w:p w:rsidR="00A042AF" w:rsidRPr="00586870" w:rsidRDefault="00A042AF" w:rsidP="00F51913">
            <w:pPr>
              <w:spacing w:after="200"/>
              <w:jc w:val="center"/>
              <w:rPr>
                <w:rFonts w:ascii="Times New Roman" w:hAnsi="Times New Roman" w:cs="Times New Roman"/>
                <w:szCs w:val="20"/>
              </w:rPr>
            </w:pPr>
          </w:p>
        </w:tc>
        <w:tc>
          <w:tcPr>
            <w:tcW w:w="3000" w:type="dxa"/>
            <w:gridSpan w:val="2"/>
            <w:vAlign w:val="center"/>
          </w:tcPr>
          <w:p w:rsidR="00A042AF" w:rsidRPr="00586870" w:rsidRDefault="00A042AF" w:rsidP="00F51913">
            <w:pPr>
              <w:spacing w:after="200"/>
              <w:jc w:val="center"/>
              <w:rPr>
                <w:rFonts w:ascii="Times New Roman" w:hAnsi="Times New Roman" w:cs="Times New Roman"/>
                <w:szCs w:val="20"/>
              </w:rPr>
            </w:pPr>
            <w:r w:rsidRPr="00586870">
              <w:rPr>
                <w:rFonts w:ascii="Times New Roman" w:hAnsi="Times New Roman" w:cs="Times New Roman"/>
                <w:szCs w:val="20"/>
              </w:rPr>
              <w:t>Goods transport wagons</w:t>
            </w:r>
          </w:p>
        </w:tc>
        <w:tc>
          <w:tcPr>
            <w:tcW w:w="3783" w:type="dxa"/>
            <w:vAlign w:val="center"/>
          </w:tcPr>
          <w:p w:rsidR="00A042AF" w:rsidRPr="00586870" w:rsidRDefault="00A042AF" w:rsidP="00F51913">
            <w:pPr>
              <w:spacing w:after="200"/>
              <w:jc w:val="left"/>
              <w:rPr>
                <w:rFonts w:ascii="Times New Roman" w:hAnsi="Times New Roman" w:cs="Times New Roman"/>
                <w:sz w:val="20"/>
                <w:szCs w:val="20"/>
              </w:rPr>
            </w:pPr>
          </w:p>
        </w:tc>
      </w:tr>
      <w:tr w:rsidR="00586870" w:rsidRPr="00586870" w:rsidTr="008D0F77">
        <w:trPr>
          <w:trHeight w:val="2037"/>
          <w:jc w:val="center"/>
        </w:trPr>
        <w:tc>
          <w:tcPr>
            <w:tcW w:w="1443" w:type="dxa"/>
            <w:vMerge/>
            <w:vAlign w:val="center"/>
          </w:tcPr>
          <w:p w:rsidR="00A042AF" w:rsidRPr="00586870" w:rsidRDefault="00A042AF" w:rsidP="00F51913">
            <w:pPr>
              <w:spacing w:after="200"/>
              <w:jc w:val="center"/>
              <w:rPr>
                <w:rFonts w:ascii="Times New Roman" w:hAnsi="Times New Roman" w:cs="Times New Roman"/>
                <w:szCs w:val="20"/>
              </w:rPr>
            </w:pPr>
          </w:p>
        </w:tc>
        <w:tc>
          <w:tcPr>
            <w:tcW w:w="1414" w:type="dxa"/>
            <w:vMerge w:val="restart"/>
            <w:vAlign w:val="center"/>
          </w:tcPr>
          <w:p w:rsidR="00A042AF" w:rsidRPr="00586870" w:rsidRDefault="00A042AF" w:rsidP="00F51913">
            <w:pPr>
              <w:spacing w:after="200"/>
              <w:jc w:val="center"/>
              <w:rPr>
                <w:rFonts w:ascii="Times New Roman" w:hAnsi="Times New Roman" w:cs="Times New Roman"/>
                <w:szCs w:val="20"/>
              </w:rPr>
            </w:pPr>
            <w:r w:rsidRPr="00586870">
              <w:rPr>
                <w:rFonts w:ascii="Times New Roman" w:hAnsi="Times New Roman" w:cs="Times New Roman"/>
                <w:szCs w:val="20"/>
              </w:rPr>
              <w:t>Rail Infrastructure</w:t>
            </w:r>
          </w:p>
        </w:tc>
        <w:tc>
          <w:tcPr>
            <w:tcW w:w="1412" w:type="dxa"/>
            <w:vMerge w:val="restart"/>
            <w:vAlign w:val="center"/>
          </w:tcPr>
          <w:p w:rsidR="00A042AF" w:rsidRPr="00586870" w:rsidRDefault="00A042AF" w:rsidP="00F51913">
            <w:pPr>
              <w:spacing w:after="200"/>
              <w:jc w:val="center"/>
              <w:rPr>
                <w:rFonts w:ascii="Times New Roman" w:hAnsi="Times New Roman" w:cs="Times New Roman"/>
                <w:szCs w:val="20"/>
              </w:rPr>
            </w:pPr>
            <w:r w:rsidRPr="00586870">
              <w:rPr>
                <w:rFonts w:ascii="Times New Roman" w:hAnsi="Times New Roman" w:cs="Times New Roman"/>
                <w:szCs w:val="20"/>
              </w:rPr>
              <w:t>Railway track system</w:t>
            </w:r>
          </w:p>
        </w:tc>
        <w:tc>
          <w:tcPr>
            <w:tcW w:w="1588" w:type="dxa"/>
            <w:vAlign w:val="center"/>
          </w:tcPr>
          <w:p w:rsidR="00A042AF" w:rsidRPr="00586870" w:rsidRDefault="00A042AF" w:rsidP="00F51913">
            <w:pPr>
              <w:spacing w:after="200"/>
              <w:jc w:val="center"/>
              <w:rPr>
                <w:rFonts w:ascii="Times New Roman" w:hAnsi="Times New Roman" w:cs="Times New Roman"/>
                <w:szCs w:val="20"/>
              </w:rPr>
            </w:pPr>
            <w:r w:rsidRPr="00586870">
              <w:rPr>
                <w:rFonts w:ascii="Times New Roman" w:hAnsi="Times New Roman" w:cs="Times New Roman"/>
                <w:szCs w:val="20"/>
              </w:rPr>
              <w:t>Railway track</w:t>
            </w:r>
          </w:p>
        </w:tc>
        <w:tc>
          <w:tcPr>
            <w:tcW w:w="3783" w:type="dxa"/>
            <w:vAlign w:val="center"/>
          </w:tcPr>
          <w:p w:rsidR="00A042AF" w:rsidRPr="00586870" w:rsidRDefault="006F42F7" w:rsidP="00B952A6">
            <w:pPr>
              <w:pStyle w:val="ListParagraph"/>
              <w:numPr>
                <w:ilvl w:val="0"/>
                <w:numId w:val="15"/>
              </w:numPr>
              <w:spacing w:after="200"/>
              <w:ind w:left="415"/>
              <w:jc w:val="left"/>
              <w:rPr>
                <w:rFonts w:ascii="Times New Roman" w:hAnsi="Times New Roman" w:cs="Times New Roman"/>
                <w:sz w:val="20"/>
                <w:szCs w:val="20"/>
              </w:rPr>
            </w:pPr>
            <w:r w:rsidRPr="00586870">
              <w:rPr>
                <w:rFonts w:ascii="Times New Roman" w:hAnsi="Times New Roman" w:cs="Times New Roman"/>
                <w:sz w:val="20"/>
                <w:szCs w:val="20"/>
              </w:rPr>
              <w:t>Rail</w:t>
            </w:r>
          </w:p>
          <w:p w:rsidR="006F42F7" w:rsidRPr="00586870" w:rsidRDefault="006F42F7" w:rsidP="00B952A6">
            <w:pPr>
              <w:pStyle w:val="ListParagraph"/>
              <w:numPr>
                <w:ilvl w:val="0"/>
                <w:numId w:val="15"/>
              </w:numPr>
              <w:spacing w:after="200"/>
              <w:ind w:left="415"/>
              <w:jc w:val="left"/>
              <w:rPr>
                <w:rFonts w:ascii="Times New Roman" w:hAnsi="Times New Roman" w:cs="Times New Roman"/>
                <w:sz w:val="20"/>
                <w:szCs w:val="20"/>
              </w:rPr>
            </w:pPr>
            <w:r w:rsidRPr="00586870">
              <w:rPr>
                <w:rFonts w:ascii="Times New Roman" w:hAnsi="Times New Roman" w:cs="Times New Roman"/>
                <w:sz w:val="20"/>
                <w:szCs w:val="20"/>
              </w:rPr>
              <w:t>Sleeper</w:t>
            </w:r>
          </w:p>
          <w:p w:rsidR="006F42F7" w:rsidRPr="00586870" w:rsidRDefault="006F42F7" w:rsidP="00B952A6">
            <w:pPr>
              <w:pStyle w:val="ListParagraph"/>
              <w:numPr>
                <w:ilvl w:val="0"/>
                <w:numId w:val="15"/>
              </w:numPr>
              <w:spacing w:after="200"/>
              <w:ind w:left="415"/>
              <w:jc w:val="left"/>
              <w:rPr>
                <w:rFonts w:ascii="Times New Roman" w:hAnsi="Times New Roman" w:cs="Times New Roman"/>
                <w:sz w:val="20"/>
                <w:szCs w:val="20"/>
              </w:rPr>
            </w:pPr>
            <w:r w:rsidRPr="00586870">
              <w:rPr>
                <w:rFonts w:ascii="Times New Roman" w:hAnsi="Times New Roman" w:cs="Times New Roman"/>
                <w:sz w:val="20"/>
                <w:szCs w:val="20"/>
              </w:rPr>
              <w:t>Fastening system</w:t>
            </w:r>
          </w:p>
          <w:p w:rsidR="006F42F7" w:rsidRPr="00586870" w:rsidRDefault="006F42F7" w:rsidP="00B952A6">
            <w:pPr>
              <w:pStyle w:val="ListParagraph"/>
              <w:numPr>
                <w:ilvl w:val="0"/>
                <w:numId w:val="15"/>
              </w:numPr>
              <w:spacing w:after="200"/>
              <w:ind w:left="415"/>
              <w:jc w:val="left"/>
              <w:rPr>
                <w:rFonts w:ascii="Times New Roman" w:hAnsi="Times New Roman" w:cs="Times New Roman"/>
                <w:sz w:val="20"/>
                <w:szCs w:val="20"/>
              </w:rPr>
            </w:pPr>
            <w:r w:rsidRPr="00586870">
              <w:rPr>
                <w:rFonts w:ascii="Times New Roman" w:hAnsi="Times New Roman" w:cs="Times New Roman"/>
                <w:sz w:val="20"/>
                <w:szCs w:val="20"/>
              </w:rPr>
              <w:t>Elastomeric pads</w:t>
            </w:r>
          </w:p>
          <w:p w:rsidR="006F42F7" w:rsidRPr="00586870" w:rsidRDefault="006F42F7" w:rsidP="00B952A6">
            <w:pPr>
              <w:pStyle w:val="ListParagraph"/>
              <w:numPr>
                <w:ilvl w:val="0"/>
                <w:numId w:val="15"/>
              </w:numPr>
              <w:spacing w:after="200"/>
              <w:ind w:left="415"/>
              <w:jc w:val="left"/>
              <w:rPr>
                <w:rFonts w:ascii="Times New Roman" w:hAnsi="Times New Roman" w:cs="Times New Roman"/>
                <w:sz w:val="20"/>
                <w:szCs w:val="20"/>
              </w:rPr>
            </w:pPr>
            <w:r w:rsidRPr="00586870">
              <w:rPr>
                <w:rFonts w:ascii="Times New Roman" w:hAnsi="Times New Roman" w:cs="Times New Roman"/>
                <w:sz w:val="20"/>
                <w:szCs w:val="20"/>
              </w:rPr>
              <w:t>B</w:t>
            </w:r>
            <w:r w:rsidR="00F51913" w:rsidRPr="00586870">
              <w:rPr>
                <w:rFonts w:ascii="Times New Roman" w:hAnsi="Times New Roman" w:cs="Times New Roman"/>
                <w:sz w:val="20"/>
                <w:szCs w:val="20"/>
              </w:rPr>
              <w:t>a</w:t>
            </w:r>
            <w:r w:rsidRPr="00586870">
              <w:rPr>
                <w:rFonts w:ascii="Times New Roman" w:hAnsi="Times New Roman" w:cs="Times New Roman"/>
                <w:sz w:val="20"/>
                <w:szCs w:val="20"/>
              </w:rPr>
              <w:t>llast</w:t>
            </w:r>
          </w:p>
          <w:p w:rsidR="006F42F7" w:rsidRPr="00586870" w:rsidRDefault="006F42F7" w:rsidP="00B952A6">
            <w:pPr>
              <w:pStyle w:val="ListParagraph"/>
              <w:numPr>
                <w:ilvl w:val="0"/>
                <w:numId w:val="15"/>
              </w:numPr>
              <w:spacing w:after="200"/>
              <w:ind w:left="415"/>
              <w:jc w:val="left"/>
              <w:rPr>
                <w:rFonts w:ascii="Times New Roman" w:hAnsi="Times New Roman" w:cs="Times New Roman"/>
                <w:sz w:val="20"/>
                <w:szCs w:val="20"/>
              </w:rPr>
            </w:pPr>
            <w:r w:rsidRPr="00586870">
              <w:rPr>
                <w:rFonts w:ascii="Times New Roman" w:hAnsi="Times New Roman" w:cs="Times New Roman"/>
                <w:sz w:val="20"/>
                <w:szCs w:val="20"/>
              </w:rPr>
              <w:t>Base</w:t>
            </w:r>
          </w:p>
          <w:p w:rsidR="006F42F7" w:rsidRPr="00586870" w:rsidRDefault="006F42F7" w:rsidP="00B952A6">
            <w:pPr>
              <w:pStyle w:val="ListParagraph"/>
              <w:numPr>
                <w:ilvl w:val="0"/>
                <w:numId w:val="15"/>
              </w:numPr>
              <w:spacing w:after="200"/>
              <w:ind w:left="415"/>
              <w:jc w:val="left"/>
              <w:rPr>
                <w:rFonts w:ascii="Times New Roman" w:hAnsi="Times New Roman" w:cs="Times New Roman"/>
                <w:sz w:val="20"/>
                <w:szCs w:val="20"/>
              </w:rPr>
            </w:pPr>
            <w:r w:rsidRPr="00586870">
              <w:rPr>
                <w:rFonts w:ascii="Times New Roman" w:hAnsi="Times New Roman" w:cs="Times New Roman"/>
                <w:sz w:val="20"/>
                <w:szCs w:val="20"/>
              </w:rPr>
              <w:t>Su</w:t>
            </w:r>
            <w:r w:rsidR="00586870" w:rsidRPr="00586870">
              <w:rPr>
                <w:rFonts w:ascii="Times New Roman" w:hAnsi="Times New Roman" w:cs="Times New Roman"/>
                <w:sz w:val="20"/>
                <w:szCs w:val="20"/>
              </w:rPr>
              <w:t>b</w:t>
            </w:r>
            <w:r w:rsidRPr="00586870">
              <w:rPr>
                <w:rFonts w:ascii="Times New Roman" w:hAnsi="Times New Roman" w:cs="Times New Roman"/>
                <w:sz w:val="20"/>
                <w:szCs w:val="20"/>
              </w:rPr>
              <w:t>-base</w:t>
            </w:r>
          </w:p>
          <w:p w:rsidR="006F42F7" w:rsidRPr="00586870" w:rsidRDefault="006F42F7" w:rsidP="00B952A6">
            <w:pPr>
              <w:pStyle w:val="ListParagraph"/>
              <w:numPr>
                <w:ilvl w:val="0"/>
                <w:numId w:val="15"/>
              </w:numPr>
              <w:spacing w:after="200"/>
              <w:ind w:left="415"/>
              <w:jc w:val="left"/>
              <w:rPr>
                <w:rFonts w:ascii="Times New Roman" w:hAnsi="Times New Roman" w:cs="Times New Roman"/>
                <w:sz w:val="20"/>
                <w:szCs w:val="20"/>
              </w:rPr>
            </w:pPr>
            <w:r w:rsidRPr="00586870">
              <w:rPr>
                <w:rFonts w:ascii="Times New Roman" w:hAnsi="Times New Roman" w:cs="Times New Roman"/>
                <w:sz w:val="20"/>
                <w:szCs w:val="20"/>
              </w:rPr>
              <w:t>Geosynthetics material</w:t>
            </w:r>
          </w:p>
        </w:tc>
      </w:tr>
      <w:tr w:rsidR="00586870" w:rsidRPr="00586870" w:rsidTr="008D0F77">
        <w:trPr>
          <w:trHeight w:val="948"/>
          <w:jc w:val="center"/>
        </w:trPr>
        <w:tc>
          <w:tcPr>
            <w:tcW w:w="1443" w:type="dxa"/>
            <w:vMerge/>
            <w:vAlign w:val="center"/>
          </w:tcPr>
          <w:p w:rsidR="00A042AF" w:rsidRPr="00586870" w:rsidRDefault="00A042AF" w:rsidP="00F51913">
            <w:pPr>
              <w:spacing w:after="200"/>
              <w:jc w:val="center"/>
              <w:rPr>
                <w:rFonts w:ascii="Times New Roman" w:hAnsi="Times New Roman" w:cs="Times New Roman"/>
                <w:szCs w:val="20"/>
              </w:rPr>
            </w:pPr>
          </w:p>
        </w:tc>
        <w:tc>
          <w:tcPr>
            <w:tcW w:w="1414" w:type="dxa"/>
            <w:vMerge/>
            <w:vAlign w:val="center"/>
          </w:tcPr>
          <w:p w:rsidR="00A042AF" w:rsidRPr="00586870" w:rsidRDefault="00A042AF" w:rsidP="00F51913">
            <w:pPr>
              <w:spacing w:after="200"/>
              <w:jc w:val="center"/>
              <w:rPr>
                <w:rFonts w:ascii="Times New Roman" w:hAnsi="Times New Roman" w:cs="Times New Roman"/>
                <w:szCs w:val="20"/>
              </w:rPr>
            </w:pPr>
          </w:p>
        </w:tc>
        <w:tc>
          <w:tcPr>
            <w:tcW w:w="1412" w:type="dxa"/>
            <w:vMerge/>
            <w:vAlign w:val="center"/>
          </w:tcPr>
          <w:p w:rsidR="00A042AF" w:rsidRPr="00586870" w:rsidRDefault="00A042AF" w:rsidP="00F51913">
            <w:pPr>
              <w:spacing w:after="200"/>
              <w:jc w:val="center"/>
              <w:rPr>
                <w:rFonts w:ascii="Times New Roman" w:hAnsi="Times New Roman" w:cs="Times New Roman"/>
                <w:szCs w:val="20"/>
              </w:rPr>
            </w:pPr>
          </w:p>
        </w:tc>
        <w:tc>
          <w:tcPr>
            <w:tcW w:w="1588" w:type="dxa"/>
            <w:vAlign w:val="center"/>
          </w:tcPr>
          <w:p w:rsidR="00A042AF" w:rsidRPr="00586870" w:rsidRDefault="00A042AF" w:rsidP="00F51913">
            <w:pPr>
              <w:spacing w:after="200"/>
              <w:jc w:val="center"/>
              <w:rPr>
                <w:rFonts w:ascii="Times New Roman" w:hAnsi="Times New Roman" w:cs="Times New Roman"/>
                <w:szCs w:val="20"/>
              </w:rPr>
            </w:pPr>
            <w:r w:rsidRPr="00586870">
              <w:rPr>
                <w:rFonts w:ascii="Times New Roman" w:hAnsi="Times New Roman" w:cs="Times New Roman"/>
                <w:szCs w:val="20"/>
              </w:rPr>
              <w:t>Railway track foundation</w:t>
            </w:r>
          </w:p>
        </w:tc>
        <w:tc>
          <w:tcPr>
            <w:tcW w:w="3783" w:type="dxa"/>
            <w:vAlign w:val="center"/>
          </w:tcPr>
          <w:p w:rsidR="00A042AF" w:rsidRPr="00586870" w:rsidRDefault="006F42F7" w:rsidP="00B952A6">
            <w:pPr>
              <w:pStyle w:val="ListParagraph"/>
              <w:numPr>
                <w:ilvl w:val="0"/>
                <w:numId w:val="14"/>
              </w:numPr>
              <w:spacing w:after="200"/>
              <w:ind w:left="415"/>
              <w:jc w:val="left"/>
              <w:rPr>
                <w:rFonts w:ascii="Times New Roman" w:hAnsi="Times New Roman" w:cs="Times New Roman"/>
                <w:sz w:val="20"/>
                <w:szCs w:val="20"/>
              </w:rPr>
            </w:pPr>
            <w:r w:rsidRPr="00586870">
              <w:rPr>
                <w:rFonts w:ascii="Times New Roman" w:hAnsi="Times New Roman" w:cs="Times New Roman"/>
                <w:sz w:val="20"/>
                <w:szCs w:val="20"/>
              </w:rPr>
              <w:t>General groundwork</w:t>
            </w:r>
          </w:p>
          <w:p w:rsidR="006F42F7" w:rsidRPr="00586870" w:rsidRDefault="006F42F7" w:rsidP="00B952A6">
            <w:pPr>
              <w:pStyle w:val="ListParagraph"/>
              <w:numPr>
                <w:ilvl w:val="0"/>
                <w:numId w:val="14"/>
              </w:numPr>
              <w:spacing w:after="200"/>
              <w:ind w:left="415"/>
              <w:jc w:val="left"/>
              <w:rPr>
                <w:rFonts w:ascii="Times New Roman" w:hAnsi="Times New Roman" w:cs="Times New Roman"/>
                <w:sz w:val="20"/>
                <w:szCs w:val="20"/>
              </w:rPr>
            </w:pPr>
            <w:r w:rsidRPr="00586870">
              <w:rPr>
                <w:rFonts w:ascii="Times New Roman" w:hAnsi="Times New Roman" w:cs="Times New Roman"/>
                <w:sz w:val="20"/>
                <w:szCs w:val="20"/>
              </w:rPr>
              <w:t>Track foundation work</w:t>
            </w:r>
          </w:p>
          <w:p w:rsidR="006F42F7" w:rsidRPr="00586870" w:rsidRDefault="006F42F7" w:rsidP="00B952A6">
            <w:pPr>
              <w:pStyle w:val="ListParagraph"/>
              <w:numPr>
                <w:ilvl w:val="0"/>
                <w:numId w:val="14"/>
              </w:numPr>
              <w:spacing w:after="200"/>
              <w:ind w:left="415"/>
              <w:jc w:val="left"/>
              <w:rPr>
                <w:rFonts w:ascii="Times New Roman" w:hAnsi="Times New Roman" w:cs="Times New Roman"/>
                <w:sz w:val="20"/>
                <w:szCs w:val="20"/>
              </w:rPr>
            </w:pPr>
            <w:r w:rsidRPr="00586870">
              <w:rPr>
                <w:rFonts w:ascii="Times New Roman" w:hAnsi="Times New Roman" w:cs="Times New Roman"/>
                <w:sz w:val="20"/>
                <w:szCs w:val="20"/>
              </w:rPr>
              <w:t>Noise protection</w:t>
            </w:r>
          </w:p>
          <w:p w:rsidR="006F42F7" w:rsidRPr="00586870" w:rsidRDefault="006F42F7" w:rsidP="00B952A6">
            <w:pPr>
              <w:pStyle w:val="ListParagraph"/>
              <w:numPr>
                <w:ilvl w:val="0"/>
                <w:numId w:val="14"/>
              </w:numPr>
              <w:spacing w:after="200"/>
              <w:ind w:left="415"/>
              <w:jc w:val="left"/>
              <w:rPr>
                <w:rFonts w:ascii="Times New Roman" w:hAnsi="Times New Roman" w:cs="Times New Roman"/>
                <w:sz w:val="20"/>
                <w:szCs w:val="20"/>
              </w:rPr>
            </w:pPr>
            <w:r w:rsidRPr="00586870">
              <w:rPr>
                <w:rFonts w:ascii="Times New Roman" w:hAnsi="Times New Roman" w:cs="Times New Roman"/>
                <w:sz w:val="20"/>
                <w:szCs w:val="20"/>
              </w:rPr>
              <w:t>Other track structures</w:t>
            </w:r>
          </w:p>
        </w:tc>
      </w:tr>
      <w:tr w:rsidR="00A042AF" w:rsidRPr="00586870" w:rsidTr="008D0F77">
        <w:trPr>
          <w:jc w:val="center"/>
        </w:trPr>
        <w:tc>
          <w:tcPr>
            <w:tcW w:w="1443" w:type="dxa"/>
            <w:vMerge/>
            <w:vAlign w:val="center"/>
          </w:tcPr>
          <w:p w:rsidR="00A042AF" w:rsidRPr="00586870" w:rsidRDefault="00A042AF" w:rsidP="00F51913">
            <w:pPr>
              <w:spacing w:after="200"/>
              <w:jc w:val="center"/>
              <w:rPr>
                <w:rFonts w:ascii="Times New Roman" w:hAnsi="Times New Roman" w:cs="Times New Roman"/>
                <w:szCs w:val="20"/>
              </w:rPr>
            </w:pPr>
          </w:p>
        </w:tc>
        <w:tc>
          <w:tcPr>
            <w:tcW w:w="1414" w:type="dxa"/>
            <w:vMerge/>
            <w:vAlign w:val="center"/>
          </w:tcPr>
          <w:p w:rsidR="00A042AF" w:rsidRPr="00586870" w:rsidRDefault="00A042AF" w:rsidP="00F51913">
            <w:pPr>
              <w:spacing w:after="200"/>
              <w:jc w:val="center"/>
              <w:rPr>
                <w:rFonts w:ascii="Times New Roman" w:hAnsi="Times New Roman" w:cs="Times New Roman"/>
                <w:szCs w:val="20"/>
              </w:rPr>
            </w:pPr>
          </w:p>
        </w:tc>
        <w:tc>
          <w:tcPr>
            <w:tcW w:w="3000" w:type="dxa"/>
            <w:gridSpan w:val="2"/>
            <w:vAlign w:val="center"/>
          </w:tcPr>
          <w:p w:rsidR="00A042AF" w:rsidRPr="00586870" w:rsidRDefault="00A042AF" w:rsidP="00F51913">
            <w:pPr>
              <w:spacing w:after="200"/>
              <w:jc w:val="center"/>
              <w:rPr>
                <w:rFonts w:ascii="Times New Roman" w:hAnsi="Times New Roman" w:cs="Times New Roman"/>
                <w:szCs w:val="20"/>
              </w:rPr>
            </w:pPr>
            <w:r w:rsidRPr="00586870">
              <w:rPr>
                <w:rFonts w:ascii="Times New Roman" w:hAnsi="Times New Roman" w:cs="Times New Roman"/>
                <w:szCs w:val="20"/>
              </w:rPr>
              <w:t>Railway bridges</w:t>
            </w:r>
          </w:p>
        </w:tc>
        <w:tc>
          <w:tcPr>
            <w:tcW w:w="3783" w:type="dxa"/>
            <w:vAlign w:val="center"/>
          </w:tcPr>
          <w:p w:rsidR="00A042AF" w:rsidRPr="00586870" w:rsidRDefault="006F42F7" w:rsidP="00B952A6">
            <w:pPr>
              <w:pStyle w:val="ListParagraph"/>
              <w:numPr>
                <w:ilvl w:val="0"/>
                <w:numId w:val="13"/>
              </w:numPr>
              <w:spacing w:after="200"/>
              <w:ind w:left="415"/>
              <w:jc w:val="left"/>
              <w:rPr>
                <w:rFonts w:ascii="Times New Roman" w:hAnsi="Times New Roman" w:cs="Times New Roman"/>
                <w:sz w:val="20"/>
                <w:szCs w:val="20"/>
              </w:rPr>
            </w:pPr>
            <w:r w:rsidRPr="00586870">
              <w:rPr>
                <w:rFonts w:ascii="Times New Roman" w:hAnsi="Times New Roman" w:cs="Times New Roman"/>
                <w:sz w:val="20"/>
                <w:szCs w:val="20"/>
              </w:rPr>
              <w:t>General groundwork</w:t>
            </w:r>
          </w:p>
          <w:p w:rsidR="006F42F7" w:rsidRPr="00586870" w:rsidRDefault="006F42F7" w:rsidP="00B952A6">
            <w:pPr>
              <w:pStyle w:val="ListParagraph"/>
              <w:numPr>
                <w:ilvl w:val="0"/>
                <w:numId w:val="13"/>
              </w:numPr>
              <w:spacing w:after="200"/>
              <w:ind w:left="415"/>
              <w:jc w:val="left"/>
              <w:rPr>
                <w:rFonts w:ascii="Times New Roman" w:hAnsi="Times New Roman" w:cs="Times New Roman"/>
                <w:sz w:val="20"/>
                <w:szCs w:val="20"/>
              </w:rPr>
            </w:pPr>
            <w:r w:rsidRPr="00586870">
              <w:rPr>
                <w:rFonts w:ascii="Times New Roman" w:hAnsi="Times New Roman" w:cs="Times New Roman"/>
                <w:sz w:val="20"/>
                <w:szCs w:val="20"/>
              </w:rPr>
              <w:t>Railway track (rail, sleeper, faste</w:t>
            </w:r>
            <w:r w:rsidR="00F51913" w:rsidRPr="00586870">
              <w:rPr>
                <w:rFonts w:ascii="Times New Roman" w:hAnsi="Times New Roman" w:cs="Times New Roman"/>
                <w:sz w:val="20"/>
                <w:szCs w:val="20"/>
              </w:rPr>
              <w:t>n</w:t>
            </w:r>
            <w:r w:rsidRPr="00586870">
              <w:rPr>
                <w:rFonts w:ascii="Times New Roman" w:hAnsi="Times New Roman" w:cs="Times New Roman"/>
                <w:sz w:val="20"/>
                <w:szCs w:val="20"/>
              </w:rPr>
              <w:t>ing systems, elastomeric pads and ballast)</w:t>
            </w:r>
          </w:p>
          <w:p w:rsidR="006F42F7" w:rsidRPr="00586870" w:rsidRDefault="006F42F7" w:rsidP="00B952A6">
            <w:pPr>
              <w:pStyle w:val="ListParagraph"/>
              <w:numPr>
                <w:ilvl w:val="0"/>
                <w:numId w:val="13"/>
              </w:numPr>
              <w:spacing w:after="200"/>
              <w:ind w:left="415"/>
              <w:jc w:val="left"/>
              <w:rPr>
                <w:rFonts w:ascii="Times New Roman" w:hAnsi="Times New Roman" w:cs="Times New Roman"/>
                <w:sz w:val="20"/>
                <w:szCs w:val="20"/>
              </w:rPr>
            </w:pPr>
            <w:r w:rsidRPr="00586870">
              <w:rPr>
                <w:rFonts w:ascii="Times New Roman" w:hAnsi="Times New Roman" w:cs="Times New Roman"/>
                <w:sz w:val="20"/>
                <w:szCs w:val="20"/>
              </w:rPr>
              <w:t>Noise protection</w:t>
            </w:r>
          </w:p>
          <w:p w:rsidR="006F42F7" w:rsidRPr="00586870" w:rsidRDefault="006F42F7" w:rsidP="00B952A6">
            <w:pPr>
              <w:pStyle w:val="ListParagraph"/>
              <w:numPr>
                <w:ilvl w:val="0"/>
                <w:numId w:val="13"/>
              </w:numPr>
              <w:spacing w:after="200"/>
              <w:ind w:left="415"/>
              <w:jc w:val="left"/>
              <w:rPr>
                <w:rFonts w:ascii="Times New Roman" w:hAnsi="Times New Roman" w:cs="Times New Roman"/>
                <w:sz w:val="20"/>
                <w:szCs w:val="20"/>
              </w:rPr>
            </w:pPr>
            <w:r w:rsidRPr="00586870">
              <w:rPr>
                <w:rFonts w:ascii="Times New Roman" w:hAnsi="Times New Roman" w:cs="Times New Roman"/>
                <w:sz w:val="20"/>
                <w:szCs w:val="20"/>
              </w:rPr>
              <w:t>Construction of a concrete bridge</w:t>
            </w:r>
          </w:p>
          <w:p w:rsidR="006F42F7" w:rsidRPr="00586870" w:rsidRDefault="006F42F7" w:rsidP="00B952A6">
            <w:pPr>
              <w:pStyle w:val="ListParagraph"/>
              <w:numPr>
                <w:ilvl w:val="0"/>
                <w:numId w:val="13"/>
              </w:numPr>
              <w:spacing w:after="200"/>
              <w:ind w:left="415"/>
              <w:jc w:val="left"/>
              <w:rPr>
                <w:rFonts w:ascii="Times New Roman" w:hAnsi="Times New Roman" w:cs="Times New Roman"/>
                <w:sz w:val="20"/>
                <w:szCs w:val="20"/>
              </w:rPr>
            </w:pPr>
            <w:r w:rsidRPr="00586870">
              <w:rPr>
                <w:rFonts w:ascii="Times New Roman" w:hAnsi="Times New Roman" w:cs="Times New Roman"/>
                <w:sz w:val="20"/>
                <w:szCs w:val="20"/>
              </w:rPr>
              <w:t>Construction of a steel bridge</w:t>
            </w:r>
          </w:p>
        </w:tc>
      </w:tr>
      <w:tr w:rsidR="00A042AF" w:rsidRPr="00586870" w:rsidTr="008D0F77">
        <w:trPr>
          <w:jc w:val="center"/>
        </w:trPr>
        <w:tc>
          <w:tcPr>
            <w:tcW w:w="1443" w:type="dxa"/>
            <w:vMerge/>
            <w:vAlign w:val="center"/>
          </w:tcPr>
          <w:p w:rsidR="00A042AF" w:rsidRPr="00586870" w:rsidRDefault="00A042AF" w:rsidP="00F51913">
            <w:pPr>
              <w:spacing w:after="200"/>
              <w:jc w:val="center"/>
              <w:rPr>
                <w:rFonts w:ascii="Times New Roman" w:hAnsi="Times New Roman" w:cs="Times New Roman"/>
                <w:szCs w:val="20"/>
              </w:rPr>
            </w:pPr>
          </w:p>
        </w:tc>
        <w:tc>
          <w:tcPr>
            <w:tcW w:w="1414" w:type="dxa"/>
            <w:vMerge/>
            <w:vAlign w:val="center"/>
          </w:tcPr>
          <w:p w:rsidR="00A042AF" w:rsidRPr="00586870" w:rsidRDefault="00A042AF" w:rsidP="00F51913">
            <w:pPr>
              <w:spacing w:after="200"/>
              <w:jc w:val="center"/>
              <w:rPr>
                <w:rFonts w:ascii="Times New Roman" w:hAnsi="Times New Roman" w:cs="Times New Roman"/>
                <w:szCs w:val="20"/>
              </w:rPr>
            </w:pPr>
          </w:p>
        </w:tc>
        <w:tc>
          <w:tcPr>
            <w:tcW w:w="3000" w:type="dxa"/>
            <w:gridSpan w:val="2"/>
            <w:vAlign w:val="center"/>
          </w:tcPr>
          <w:p w:rsidR="00A042AF" w:rsidRPr="00586870" w:rsidRDefault="00A042AF" w:rsidP="00F51913">
            <w:pPr>
              <w:spacing w:after="200"/>
              <w:jc w:val="center"/>
              <w:rPr>
                <w:rFonts w:ascii="Times New Roman" w:hAnsi="Times New Roman" w:cs="Times New Roman"/>
                <w:szCs w:val="20"/>
              </w:rPr>
            </w:pPr>
            <w:r w:rsidRPr="00586870">
              <w:rPr>
                <w:rFonts w:ascii="Times New Roman" w:hAnsi="Times New Roman" w:cs="Times New Roman"/>
                <w:szCs w:val="20"/>
              </w:rPr>
              <w:t>Railway tunnels</w:t>
            </w:r>
          </w:p>
        </w:tc>
        <w:tc>
          <w:tcPr>
            <w:tcW w:w="3783" w:type="dxa"/>
            <w:vAlign w:val="center"/>
          </w:tcPr>
          <w:p w:rsidR="00A042AF" w:rsidRPr="00586870" w:rsidRDefault="006F42F7" w:rsidP="00B952A6">
            <w:pPr>
              <w:pStyle w:val="ListParagraph"/>
              <w:numPr>
                <w:ilvl w:val="0"/>
                <w:numId w:val="12"/>
              </w:numPr>
              <w:spacing w:after="200"/>
              <w:ind w:left="415"/>
              <w:jc w:val="left"/>
              <w:rPr>
                <w:rFonts w:ascii="Times New Roman" w:hAnsi="Times New Roman" w:cs="Times New Roman"/>
                <w:sz w:val="20"/>
                <w:szCs w:val="20"/>
              </w:rPr>
            </w:pPr>
            <w:r w:rsidRPr="00586870">
              <w:rPr>
                <w:rFonts w:ascii="Times New Roman" w:hAnsi="Times New Roman" w:cs="Times New Roman"/>
                <w:sz w:val="20"/>
                <w:szCs w:val="20"/>
              </w:rPr>
              <w:t>General groundwork</w:t>
            </w:r>
          </w:p>
          <w:p w:rsidR="006F42F7" w:rsidRPr="00586870" w:rsidRDefault="006F42F7" w:rsidP="00B952A6">
            <w:pPr>
              <w:pStyle w:val="ListParagraph"/>
              <w:numPr>
                <w:ilvl w:val="0"/>
                <w:numId w:val="12"/>
              </w:numPr>
              <w:spacing w:after="200"/>
              <w:ind w:left="415"/>
              <w:jc w:val="left"/>
              <w:rPr>
                <w:rFonts w:ascii="Times New Roman" w:hAnsi="Times New Roman" w:cs="Times New Roman"/>
                <w:sz w:val="20"/>
                <w:szCs w:val="20"/>
              </w:rPr>
            </w:pPr>
            <w:r w:rsidRPr="00586870">
              <w:rPr>
                <w:rFonts w:ascii="Times New Roman" w:hAnsi="Times New Roman" w:cs="Times New Roman"/>
                <w:sz w:val="20"/>
                <w:szCs w:val="20"/>
              </w:rPr>
              <w:t>Tunnel work</w:t>
            </w:r>
          </w:p>
          <w:p w:rsidR="006F42F7" w:rsidRPr="00586870" w:rsidRDefault="006F42F7" w:rsidP="00B952A6">
            <w:pPr>
              <w:pStyle w:val="ListParagraph"/>
              <w:numPr>
                <w:ilvl w:val="0"/>
                <w:numId w:val="12"/>
              </w:numPr>
              <w:spacing w:after="200"/>
              <w:ind w:left="415"/>
              <w:jc w:val="left"/>
              <w:rPr>
                <w:rFonts w:ascii="Times New Roman" w:hAnsi="Times New Roman" w:cs="Times New Roman"/>
                <w:sz w:val="20"/>
                <w:szCs w:val="20"/>
              </w:rPr>
            </w:pPr>
            <w:r w:rsidRPr="00586870">
              <w:rPr>
                <w:rFonts w:ascii="Times New Roman" w:hAnsi="Times New Roman" w:cs="Times New Roman"/>
                <w:sz w:val="20"/>
                <w:szCs w:val="20"/>
              </w:rPr>
              <w:t>Other tunnel structures</w:t>
            </w:r>
          </w:p>
        </w:tc>
      </w:tr>
      <w:tr w:rsidR="00A042AF" w:rsidRPr="00586870" w:rsidTr="008D0F77">
        <w:trPr>
          <w:trHeight w:val="829"/>
          <w:jc w:val="center"/>
        </w:trPr>
        <w:tc>
          <w:tcPr>
            <w:tcW w:w="1443" w:type="dxa"/>
            <w:vMerge/>
            <w:vAlign w:val="center"/>
          </w:tcPr>
          <w:p w:rsidR="00A042AF" w:rsidRPr="00586870" w:rsidRDefault="00A042AF" w:rsidP="00F51913">
            <w:pPr>
              <w:spacing w:after="200"/>
              <w:jc w:val="center"/>
              <w:rPr>
                <w:rFonts w:ascii="Times New Roman" w:hAnsi="Times New Roman" w:cs="Times New Roman"/>
                <w:szCs w:val="20"/>
              </w:rPr>
            </w:pPr>
          </w:p>
        </w:tc>
        <w:tc>
          <w:tcPr>
            <w:tcW w:w="1414" w:type="dxa"/>
            <w:vMerge/>
            <w:vAlign w:val="center"/>
          </w:tcPr>
          <w:p w:rsidR="00A042AF" w:rsidRPr="00586870" w:rsidRDefault="00A042AF" w:rsidP="00F51913">
            <w:pPr>
              <w:spacing w:after="200"/>
              <w:jc w:val="center"/>
              <w:rPr>
                <w:rFonts w:ascii="Times New Roman" w:hAnsi="Times New Roman" w:cs="Times New Roman"/>
                <w:szCs w:val="20"/>
              </w:rPr>
            </w:pPr>
          </w:p>
        </w:tc>
        <w:tc>
          <w:tcPr>
            <w:tcW w:w="3000" w:type="dxa"/>
            <w:gridSpan w:val="2"/>
            <w:vAlign w:val="center"/>
          </w:tcPr>
          <w:p w:rsidR="00A042AF" w:rsidRPr="00586870" w:rsidRDefault="00A042AF" w:rsidP="00F51913">
            <w:pPr>
              <w:spacing w:after="200"/>
              <w:jc w:val="center"/>
              <w:rPr>
                <w:rFonts w:ascii="Times New Roman" w:hAnsi="Times New Roman" w:cs="Times New Roman"/>
                <w:szCs w:val="20"/>
              </w:rPr>
            </w:pPr>
            <w:r w:rsidRPr="00586870">
              <w:rPr>
                <w:rFonts w:ascii="Times New Roman" w:hAnsi="Times New Roman" w:cs="Times New Roman"/>
                <w:szCs w:val="20"/>
              </w:rPr>
              <w:t>Railway electrical equipment</w:t>
            </w:r>
          </w:p>
        </w:tc>
        <w:tc>
          <w:tcPr>
            <w:tcW w:w="3783" w:type="dxa"/>
            <w:vAlign w:val="center"/>
          </w:tcPr>
          <w:p w:rsidR="00A042AF" w:rsidRPr="00586870" w:rsidRDefault="0034312E" w:rsidP="00B952A6">
            <w:pPr>
              <w:pStyle w:val="ListParagraph"/>
              <w:numPr>
                <w:ilvl w:val="0"/>
                <w:numId w:val="11"/>
              </w:numPr>
              <w:spacing w:after="200"/>
              <w:ind w:left="415"/>
              <w:jc w:val="left"/>
              <w:rPr>
                <w:rFonts w:ascii="Times New Roman" w:hAnsi="Times New Roman" w:cs="Times New Roman"/>
                <w:sz w:val="20"/>
                <w:szCs w:val="20"/>
              </w:rPr>
            </w:pPr>
            <w:r>
              <w:rPr>
                <w:rFonts w:ascii="Times New Roman" w:hAnsi="Times New Roman" w:cs="Times New Roman"/>
                <w:sz w:val="20"/>
                <w:szCs w:val="20"/>
              </w:rPr>
              <w:t>General groundwork</w:t>
            </w:r>
          </w:p>
          <w:p w:rsidR="00A042AF" w:rsidRPr="00586870" w:rsidRDefault="00A042AF" w:rsidP="00B952A6">
            <w:pPr>
              <w:pStyle w:val="ListParagraph"/>
              <w:numPr>
                <w:ilvl w:val="0"/>
                <w:numId w:val="11"/>
              </w:numPr>
              <w:spacing w:after="200"/>
              <w:ind w:left="415"/>
              <w:jc w:val="left"/>
              <w:rPr>
                <w:rFonts w:ascii="Times New Roman" w:hAnsi="Times New Roman" w:cs="Times New Roman"/>
                <w:sz w:val="20"/>
                <w:szCs w:val="20"/>
              </w:rPr>
            </w:pPr>
            <w:r w:rsidRPr="00586870">
              <w:rPr>
                <w:rFonts w:ascii="Times New Roman" w:hAnsi="Times New Roman" w:cs="Times New Roman"/>
                <w:sz w:val="20"/>
                <w:szCs w:val="20"/>
              </w:rPr>
              <w:t>Electric  power supply</w:t>
            </w:r>
          </w:p>
          <w:p w:rsidR="00A042AF" w:rsidRPr="00586870" w:rsidRDefault="00A042AF" w:rsidP="00B952A6">
            <w:pPr>
              <w:pStyle w:val="ListParagraph"/>
              <w:numPr>
                <w:ilvl w:val="0"/>
                <w:numId w:val="11"/>
              </w:numPr>
              <w:spacing w:after="200"/>
              <w:ind w:left="415"/>
              <w:jc w:val="left"/>
              <w:rPr>
                <w:rFonts w:ascii="Times New Roman" w:hAnsi="Times New Roman" w:cs="Times New Roman"/>
                <w:sz w:val="20"/>
                <w:szCs w:val="20"/>
              </w:rPr>
            </w:pPr>
            <w:r w:rsidRPr="00586870">
              <w:rPr>
                <w:rFonts w:ascii="Times New Roman" w:hAnsi="Times New Roman" w:cs="Times New Roman"/>
                <w:sz w:val="20"/>
                <w:szCs w:val="20"/>
              </w:rPr>
              <w:t>Telecommunication</w:t>
            </w:r>
          </w:p>
          <w:p w:rsidR="00A042AF" w:rsidRPr="00586870" w:rsidRDefault="00A042AF" w:rsidP="00B952A6">
            <w:pPr>
              <w:pStyle w:val="ListParagraph"/>
              <w:numPr>
                <w:ilvl w:val="0"/>
                <w:numId w:val="11"/>
              </w:numPr>
              <w:spacing w:after="200"/>
              <w:ind w:left="415"/>
              <w:jc w:val="left"/>
              <w:rPr>
                <w:rFonts w:ascii="Times New Roman" w:hAnsi="Times New Roman" w:cs="Times New Roman"/>
                <w:sz w:val="20"/>
                <w:szCs w:val="20"/>
              </w:rPr>
            </w:pPr>
            <w:r w:rsidRPr="00586870">
              <w:rPr>
                <w:rFonts w:ascii="Times New Roman" w:hAnsi="Times New Roman" w:cs="Times New Roman"/>
                <w:sz w:val="20"/>
                <w:szCs w:val="20"/>
              </w:rPr>
              <w:t>Signal &amp; Communication</w:t>
            </w:r>
          </w:p>
        </w:tc>
      </w:tr>
    </w:tbl>
    <w:p w:rsidR="00586870" w:rsidRDefault="00586870" w:rsidP="00540C84">
      <w:pPr>
        <w:spacing w:after="200"/>
        <w:rPr>
          <w:rFonts w:ascii="Times New Roman" w:hAnsi="Times New Roman" w:cs="Times New Roman"/>
          <w:sz w:val="24"/>
          <w:szCs w:val="24"/>
        </w:rPr>
      </w:pPr>
    </w:p>
    <w:p w:rsidR="00C2056C" w:rsidRPr="00567F01" w:rsidRDefault="00C2056C" w:rsidP="001057DB">
      <w:pPr>
        <w:spacing w:after="200"/>
        <w:jc w:val="left"/>
        <w:rPr>
          <w:rFonts w:ascii="Times New Roman" w:hAnsi="Times New Roman" w:cs="Times New Roman"/>
          <w:sz w:val="24"/>
          <w:szCs w:val="24"/>
        </w:rPr>
      </w:pPr>
      <w:r w:rsidRPr="00567F01">
        <w:rPr>
          <w:rFonts w:ascii="Times New Roman" w:hAnsi="Times New Roman" w:cs="Times New Roman"/>
          <w:sz w:val="24"/>
          <w:szCs w:val="24"/>
        </w:rPr>
        <w:t>2.3.1 Life Cycle Inventory for railway track system</w:t>
      </w:r>
    </w:p>
    <w:p w:rsidR="0034312E" w:rsidRPr="0034312E" w:rsidRDefault="00540C84" w:rsidP="0034312E">
      <w:pPr>
        <w:rPr>
          <w:rFonts w:ascii="Times New Roman" w:hAnsi="Times New Roman" w:cs="Times New Roman"/>
          <w:sz w:val="24"/>
          <w:szCs w:val="24"/>
        </w:rPr>
      </w:pPr>
      <w:r w:rsidRPr="0034312E">
        <w:rPr>
          <w:rFonts w:ascii="Times New Roman" w:hAnsi="Times New Roman" w:cs="Times New Roman"/>
          <w:sz w:val="24"/>
          <w:szCs w:val="24"/>
        </w:rPr>
        <w:t xml:space="preserve">The </w:t>
      </w:r>
      <w:r w:rsidR="0034312E" w:rsidRPr="0034312E">
        <w:rPr>
          <w:rFonts w:ascii="Times New Roman" w:hAnsi="Times New Roman" w:cs="Times New Roman"/>
          <w:sz w:val="24"/>
          <w:szCs w:val="24"/>
        </w:rPr>
        <w:t>Life Cycle Inventory (LCI) for railway track is based on the EU FP7 SMARTrail project (The SMARTrail Consortium, 2014). The LCI for railway track is divided in 8 stages, each related with one of the materials/products of the railway track: rail, sleeper, fastening system, elastomeric pads, ballast, base, sub-base and geosysnthetics material.</w:t>
      </w:r>
    </w:p>
    <w:p w:rsidR="0034312E" w:rsidRDefault="0034312E" w:rsidP="0034312E">
      <w:pPr>
        <w:rPr>
          <w:rFonts w:ascii="Times New Roman" w:hAnsi="Times New Roman" w:cs="Times New Roman"/>
          <w:sz w:val="24"/>
          <w:szCs w:val="24"/>
        </w:rPr>
      </w:pPr>
    </w:p>
    <w:p w:rsidR="00567F01" w:rsidRPr="0034312E" w:rsidRDefault="0034312E" w:rsidP="0034312E">
      <w:pPr>
        <w:rPr>
          <w:rFonts w:ascii="Times New Roman" w:hAnsi="Times New Roman" w:cs="Times New Roman"/>
          <w:sz w:val="24"/>
          <w:szCs w:val="24"/>
        </w:rPr>
      </w:pPr>
      <w:r w:rsidRPr="0034312E">
        <w:rPr>
          <w:rFonts w:ascii="Times New Roman" w:hAnsi="Times New Roman" w:cs="Times New Roman"/>
          <w:sz w:val="24"/>
          <w:szCs w:val="24"/>
        </w:rPr>
        <w:t xml:space="preserve">The LCI for railway track foundation is based on the EPD UN CPC 53212 for railway track foundations on the Bothnia Line and the related report of Stripple and Uppenberg, 2010. The </w:t>
      </w:r>
      <w:r w:rsidRPr="0034312E">
        <w:rPr>
          <w:rFonts w:ascii="Times New Roman" w:hAnsi="Times New Roman" w:cs="Times New Roman"/>
          <w:sz w:val="24"/>
          <w:szCs w:val="24"/>
        </w:rPr>
        <w:lastRenderedPageBreak/>
        <w:t>LCI for railway track foundation is divided in 4 stages: General groundwork, track foundation work, noise protection and other track structure.</w:t>
      </w:r>
    </w:p>
    <w:p w:rsidR="008930D0" w:rsidRPr="00567F01" w:rsidRDefault="008930D0" w:rsidP="008930D0">
      <w:pPr>
        <w:rPr>
          <w:rFonts w:ascii="Times New Roman" w:hAnsi="Times New Roman" w:cs="Times New Roman"/>
          <w:sz w:val="24"/>
          <w:szCs w:val="24"/>
        </w:rPr>
      </w:pPr>
    </w:p>
    <w:p w:rsidR="00C2056C" w:rsidRPr="00567F01" w:rsidRDefault="00C2056C" w:rsidP="001057DB">
      <w:pPr>
        <w:spacing w:after="200"/>
        <w:jc w:val="left"/>
        <w:rPr>
          <w:rFonts w:ascii="Times New Roman" w:hAnsi="Times New Roman" w:cs="Times New Roman"/>
          <w:sz w:val="24"/>
          <w:szCs w:val="24"/>
        </w:rPr>
      </w:pPr>
      <w:r w:rsidRPr="00567F01">
        <w:rPr>
          <w:rFonts w:ascii="Times New Roman" w:hAnsi="Times New Roman" w:cs="Times New Roman"/>
          <w:sz w:val="24"/>
          <w:szCs w:val="24"/>
        </w:rPr>
        <w:t>2.3.2 Life Cycle Inventory for railway bridges</w:t>
      </w:r>
    </w:p>
    <w:p w:rsidR="00631EEA" w:rsidRDefault="00540C84" w:rsidP="00540C84">
      <w:pPr>
        <w:spacing w:after="200"/>
        <w:rPr>
          <w:rFonts w:ascii="Times New Roman" w:hAnsi="Times New Roman" w:cs="Times New Roman"/>
          <w:sz w:val="24"/>
          <w:szCs w:val="24"/>
        </w:rPr>
      </w:pPr>
      <w:r w:rsidRPr="00057636">
        <w:rPr>
          <w:rFonts w:ascii="Times New Roman" w:hAnsi="Times New Roman" w:cs="Times New Roman"/>
          <w:sz w:val="24"/>
          <w:szCs w:val="24"/>
        </w:rPr>
        <w:t xml:space="preserve">The </w:t>
      </w:r>
      <w:r w:rsidR="0034312E" w:rsidRPr="0034312E">
        <w:rPr>
          <w:rFonts w:ascii="Times New Roman" w:hAnsi="Times New Roman" w:cs="Times New Roman"/>
          <w:sz w:val="24"/>
          <w:szCs w:val="24"/>
        </w:rPr>
        <w:t>Life Cycle Inventory (LCI) for railway bridges is based on the EU FP7 SMARTrail project</w:t>
      </w:r>
      <w:r w:rsidR="0034312E" w:rsidRPr="0034312E">
        <w:rPr>
          <w:rFonts w:ascii="Times New Roman" w:hAnsi="Times New Roman" w:cs="Times New Roman"/>
          <w:b/>
          <w:sz w:val="24"/>
          <w:szCs w:val="24"/>
        </w:rPr>
        <w:t xml:space="preserve"> </w:t>
      </w:r>
      <w:r w:rsidR="0034312E" w:rsidRPr="0034312E">
        <w:rPr>
          <w:rFonts w:ascii="Times New Roman" w:hAnsi="Times New Roman" w:cs="Times New Roman"/>
          <w:sz w:val="24"/>
          <w:szCs w:val="24"/>
        </w:rPr>
        <w:t>(The SMARTrail Consortium, 2014 )</w:t>
      </w:r>
      <w:r w:rsidR="0034312E" w:rsidRPr="0034312E">
        <w:rPr>
          <w:rFonts w:ascii="Times New Roman" w:hAnsi="Times New Roman" w:cs="Times New Roman"/>
          <w:b/>
          <w:sz w:val="24"/>
          <w:szCs w:val="24"/>
        </w:rPr>
        <w:t xml:space="preserve">, </w:t>
      </w:r>
      <w:r w:rsidR="0034312E" w:rsidRPr="0034312E">
        <w:rPr>
          <w:rFonts w:ascii="Times New Roman" w:hAnsi="Times New Roman" w:cs="Times New Roman"/>
          <w:sz w:val="24"/>
          <w:szCs w:val="24"/>
        </w:rPr>
        <w:t>the EPD UN CPC 53212 for railway bridges on the Bothnia Line and the related report of Stripple and Uppenberg, 2010. The LCI for railway bridges is divided in 5 stages, each related with one of the stage of construction of the railway bridge: general groundwork, railway track system, application of noise protection, construction of a concrete bridge and construction of a steel bridge.</w:t>
      </w:r>
    </w:p>
    <w:p w:rsidR="00C2056C" w:rsidRPr="00567F01" w:rsidRDefault="00C2056C" w:rsidP="001057DB">
      <w:pPr>
        <w:spacing w:after="200"/>
        <w:jc w:val="left"/>
        <w:rPr>
          <w:rFonts w:ascii="Times New Roman" w:hAnsi="Times New Roman" w:cs="Times New Roman"/>
          <w:sz w:val="24"/>
          <w:szCs w:val="24"/>
        </w:rPr>
      </w:pPr>
      <w:r w:rsidRPr="00567F01">
        <w:rPr>
          <w:rFonts w:ascii="Times New Roman" w:hAnsi="Times New Roman" w:cs="Times New Roman"/>
          <w:sz w:val="24"/>
          <w:szCs w:val="24"/>
        </w:rPr>
        <w:t>2.3.3 Life Cycle Inventory for railway tunnels</w:t>
      </w:r>
    </w:p>
    <w:p w:rsidR="00631EEA" w:rsidRDefault="00540C84" w:rsidP="00631EEA">
      <w:pPr>
        <w:spacing w:after="200"/>
        <w:rPr>
          <w:rFonts w:ascii="Times New Roman" w:hAnsi="Times New Roman" w:cs="Times New Roman"/>
          <w:sz w:val="24"/>
          <w:szCs w:val="24"/>
        </w:rPr>
      </w:pPr>
      <w:r>
        <w:rPr>
          <w:rFonts w:ascii="Times New Roman" w:hAnsi="Times New Roman" w:cs="Times New Roman"/>
          <w:sz w:val="24"/>
          <w:szCs w:val="24"/>
        </w:rPr>
        <w:t xml:space="preserve">The </w:t>
      </w:r>
      <w:r w:rsidR="0034312E" w:rsidRPr="0034312E">
        <w:rPr>
          <w:rFonts w:ascii="Times New Roman" w:hAnsi="Times New Roman" w:cs="Times New Roman"/>
          <w:sz w:val="24"/>
          <w:szCs w:val="24"/>
        </w:rPr>
        <w:t>Life Cycle Inventory (LCI) for railway tunnels is based on the EPD UN CPC 53212 for railway tunnels on the Bothnia Line and the related report of Stripple and Uppenberg, 2010. The LCI for railway tunnels is divided in 3 stages: general groundwork, tunnel work and other tunnel structure.</w:t>
      </w:r>
    </w:p>
    <w:p w:rsidR="00C2056C" w:rsidRPr="00567F01" w:rsidRDefault="00C2056C" w:rsidP="001057DB">
      <w:pPr>
        <w:spacing w:after="200"/>
        <w:jc w:val="left"/>
        <w:rPr>
          <w:rFonts w:ascii="Times New Roman" w:hAnsi="Times New Roman" w:cs="Times New Roman"/>
          <w:sz w:val="24"/>
          <w:szCs w:val="24"/>
        </w:rPr>
      </w:pPr>
      <w:r w:rsidRPr="00567F01">
        <w:rPr>
          <w:rFonts w:ascii="Times New Roman" w:hAnsi="Times New Roman" w:cs="Times New Roman"/>
          <w:sz w:val="24"/>
          <w:szCs w:val="24"/>
        </w:rPr>
        <w:t>2.3.4 Life Cycle Inventory for electrical installations in railway</w:t>
      </w:r>
    </w:p>
    <w:p w:rsidR="00C655F8" w:rsidRPr="006455CE" w:rsidRDefault="00631EEA" w:rsidP="006455CE">
      <w:pPr>
        <w:spacing w:after="200"/>
        <w:rPr>
          <w:rFonts w:ascii="Times New Roman" w:hAnsi="Times New Roman" w:cs="Times New Roman"/>
          <w:sz w:val="24"/>
          <w:szCs w:val="24"/>
        </w:rPr>
      </w:pPr>
      <w:r w:rsidRPr="00631EEA">
        <w:rPr>
          <w:rFonts w:ascii="Times New Roman" w:hAnsi="Times New Roman" w:cs="Times New Roman"/>
          <w:sz w:val="24"/>
          <w:szCs w:val="24"/>
        </w:rPr>
        <w:t xml:space="preserve">The </w:t>
      </w:r>
      <w:r w:rsidR="0034312E" w:rsidRPr="0034312E">
        <w:rPr>
          <w:rFonts w:ascii="Times New Roman" w:hAnsi="Times New Roman" w:cs="Times New Roman"/>
          <w:sz w:val="24"/>
          <w:szCs w:val="24"/>
        </w:rPr>
        <w:t>Life Cycle Inventory (LCI) for electrical installations in railway is based on the EPD UN CPC 53212 for power, signalling and telecom system on the Bothnia Line and the related report of Stripple and Uppenberg, 2010. The LCI for electrical installations in railway is divided in 4 stages: general groundwork, electric power supply, telecommunication and signal and communication.</w:t>
      </w:r>
    </w:p>
    <w:p w:rsidR="00C2056C" w:rsidRPr="00F65800" w:rsidRDefault="00C2056C" w:rsidP="001057DB">
      <w:pPr>
        <w:spacing w:after="200"/>
        <w:jc w:val="left"/>
        <w:rPr>
          <w:rFonts w:ascii="Times New Roman" w:hAnsi="Times New Roman" w:cs="Times New Roman"/>
          <w:b/>
          <w:sz w:val="24"/>
          <w:szCs w:val="24"/>
        </w:rPr>
      </w:pPr>
      <w:r w:rsidRPr="00F65800">
        <w:rPr>
          <w:rFonts w:ascii="Times New Roman" w:hAnsi="Times New Roman" w:cs="Times New Roman"/>
          <w:b/>
          <w:sz w:val="24"/>
          <w:szCs w:val="24"/>
        </w:rPr>
        <w:t>2</w:t>
      </w:r>
      <w:r w:rsidR="006455CE" w:rsidRPr="00F65800">
        <w:rPr>
          <w:rFonts w:ascii="Times New Roman" w:hAnsi="Times New Roman" w:cs="Times New Roman"/>
          <w:b/>
          <w:sz w:val="24"/>
          <w:szCs w:val="24"/>
        </w:rPr>
        <w:t>.4</w:t>
      </w:r>
      <w:r w:rsidRPr="00F65800">
        <w:rPr>
          <w:rFonts w:ascii="Times New Roman" w:hAnsi="Times New Roman" w:cs="Times New Roman"/>
          <w:b/>
          <w:sz w:val="24"/>
          <w:szCs w:val="24"/>
        </w:rPr>
        <w:t xml:space="preserve"> </w:t>
      </w:r>
      <w:r w:rsidR="00403A97" w:rsidRPr="00F65800">
        <w:rPr>
          <w:rFonts w:ascii="Times New Roman" w:hAnsi="Times New Roman" w:cs="Times New Roman"/>
          <w:b/>
          <w:sz w:val="24"/>
          <w:szCs w:val="24"/>
        </w:rPr>
        <w:t>New impact categories</w:t>
      </w:r>
    </w:p>
    <w:p w:rsidR="00567F01" w:rsidRPr="0034312E" w:rsidRDefault="00700D13" w:rsidP="001057DB">
      <w:pPr>
        <w:spacing w:after="200"/>
        <w:rPr>
          <w:rFonts w:ascii="Times New Roman" w:hAnsi="Times New Roman" w:cs="Times New Roman"/>
          <w:sz w:val="24"/>
          <w:szCs w:val="24"/>
        </w:rPr>
      </w:pPr>
      <w:r w:rsidRPr="00700D13">
        <w:rPr>
          <w:rFonts w:ascii="Times New Roman" w:hAnsi="Times New Roman" w:cs="Times New Roman"/>
          <w:sz w:val="24"/>
          <w:szCs w:val="24"/>
          <w:lang w:val="en-US"/>
        </w:rPr>
        <w:t xml:space="preserve">The </w:t>
      </w:r>
      <w:r w:rsidR="0034312E" w:rsidRPr="0034312E">
        <w:rPr>
          <w:rFonts w:ascii="Times New Roman" w:hAnsi="Times New Roman" w:cs="Times New Roman"/>
          <w:sz w:val="24"/>
          <w:szCs w:val="24"/>
          <w:lang w:val="en-US"/>
        </w:rPr>
        <w:t xml:space="preserve">use of LCA method in the transport sector shows its methodological limitations. Indeed, significant and relevant environmental impacts such as those related to accidents damages, noise impact and land use planning, are not adequately measured using the current LCA methodology. </w:t>
      </w:r>
      <w:r w:rsidR="0034312E" w:rsidRPr="0034312E">
        <w:rPr>
          <w:rFonts w:ascii="Times New Roman" w:hAnsi="Times New Roman" w:cs="Times New Roman"/>
          <w:sz w:val="24"/>
          <w:szCs w:val="24"/>
        </w:rPr>
        <w:t xml:space="preserve">Therefore, to achieve the objectives of the study, it is required to improve the current methodology with the development and harmonization of new impact categories relative to accidents damages (Fries and Hellweg, 2014), </w:t>
      </w:r>
      <w:r w:rsidR="0034312E" w:rsidRPr="0034312E">
        <w:rPr>
          <w:rFonts w:ascii="Times New Roman" w:hAnsi="Times New Roman" w:cs="Times New Roman"/>
          <w:bCs/>
          <w:sz w:val="24"/>
          <w:szCs w:val="24"/>
        </w:rPr>
        <w:t>noise impact (Althaus et al., 2009 and Cucurachi et al., 2012) and land use</w:t>
      </w:r>
      <w:r w:rsidR="0034312E" w:rsidRPr="0034312E">
        <w:rPr>
          <w:rFonts w:ascii="Times New Roman" w:hAnsi="Times New Roman" w:cs="Times New Roman"/>
          <w:sz w:val="24"/>
          <w:szCs w:val="24"/>
        </w:rPr>
        <w:t xml:space="preserve"> planning (Koellner et al., 2013) for impact assessment.</w:t>
      </w:r>
    </w:p>
    <w:p w:rsidR="00567F01" w:rsidRPr="00F65800" w:rsidRDefault="00D200EA" w:rsidP="001057DB">
      <w:pPr>
        <w:spacing w:after="200"/>
        <w:jc w:val="left"/>
        <w:rPr>
          <w:rFonts w:ascii="Times New Roman" w:hAnsi="Times New Roman" w:cs="Times New Roman"/>
          <w:b/>
          <w:sz w:val="24"/>
          <w:szCs w:val="24"/>
        </w:rPr>
      </w:pPr>
      <w:r w:rsidRPr="00F65800">
        <w:rPr>
          <w:rFonts w:ascii="Times New Roman" w:hAnsi="Times New Roman" w:cs="Times New Roman"/>
          <w:b/>
          <w:sz w:val="24"/>
          <w:szCs w:val="24"/>
        </w:rPr>
        <w:t>2.5</w:t>
      </w:r>
      <w:r w:rsidR="00B76ED6" w:rsidRPr="00F65800">
        <w:rPr>
          <w:rFonts w:ascii="Times New Roman" w:hAnsi="Times New Roman" w:cs="Times New Roman"/>
          <w:b/>
          <w:sz w:val="24"/>
          <w:szCs w:val="24"/>
        </w:rPr>
        <w:t xml:space="preserve"> External cost</w:t>
      </w:r>
    </w:p>
    <w:p w:rsidR="0034312E" w:rsidRPr="0034312E" w:rsidRDefault="0034312E" w:rsidP="0034312E">
      <w:pPr>
        <w:spacing w:after="200"/>
        <w:rPr>
          <w:rFonts w:ascii="Times New Roman" w:hAnsi="Times New Roman" w:cs="Times New Roman"/>
          <w:sz w:val="24"/>
          <w:szCs w:val="24"/>
        </w:rPr>
      </w:pPr>
      <w:r w:rsidRPr="0034312E">
        <w:rPr>
          <w:rFonts w:ascii="Times New Roman" w:hAnsi="Times New Roman" w:cs="Times New Roman"/>
          <w:sz w:val="24"/>
          <w:szCs w:val="24"/>
        </w:rPr>
        <w:t xml:space="preserve">Willingness of Europe to promote intermodal transportation by internalization of external costs is the last opportunity addressed in this field. In order to complete the environmental impact assessment of rail freight intermodality in Belgium, a study of external costs will be considered. </w:t>
      </w:r>
    </w:p>
    <w:p w:rsidR="0034312E" w:rsidRPr="008111A7" w:rsidRDefault="0034312E" w:rsidP="0034312E">
      <w:pPr>
        <w:spacing w:after="200"/>
        <w:rPr>
          <w:rFonts w:ascii="Times New Roman" w:hAnsi="Times New Roman" w:cs="Times New Roman"/>
          <w:sz w:val="24"/>
          <w:szCs w:val="24"/>
        </w:rPr>
      </w:pPr>
      <w:r w:rsidRPr="0034312E">
        <w:rPr>
          <w:rFonts w:ascii="Times New Roman" w:hAnsi="Times New Roman" w:cs="Times New Roman"/>
          <w:sz w:val="24"/>
          <w:szCs w:val="24"/>
        </w:rPr>
        <w:t xml:space="preserve">The negative external costs of transport are not usually assumed by transport users and hence not taken into account when they decide to use transportation. The internalisation of external costs by transport users could be used for mitigate the negative effects of transport </w:t>
      </w:r>
      <w:r w:rsidRPr="0034312E">
        <w:rPr>
          <w:rFonts w:ascii="Times New Roman" w:hAnsi="Times New Roman" w:cs="Times New Roman"/>
          <w:sz w:val="24"/>
          <w:szCs w:val="24"/>
        </w:rPr>
        <w:lastRenderedPageBreak/>
        <w:t>(RICARDO AEA, 2014). In rail transport, internalisation of negative external costs is not as developed as for road transport. The most important negative externalities are the direct air emissions, noise, water pollution, congestion, accidents and land use by the infrastructure (Demir et al., 2015).</w:t>
      </w:r>
    </w:p>
    <w:p w:rsidR="00885302" w:rsidRPr="00885302" w:rsidRDefault="00885302" w:rsidP="001057DB">
      <w:pPr>
        <w:spacing w:after="200"/>
        <w:jc w:val="left"/>
        <w:rPr>
          <w:rFonts w:ascii="Times New Roman" w:hAnsi="Times New Roman" w:cs="Times New Roman"/>
          <w:b/>
          <w:sz w:val="24"/>
          <w:szCs w:val="24"/>
        </w:rPr>
      </w:pPr>
      <w:r w:rsidRPr="00885302">
        <w:rPr>
          <w:rFonts w:ascii="Times New Roman" w:hAnsi="Times New Roman" w:cs="Times New Roman"/>
          <w:b/>
          <w:sz w:val="24"/>
          <w:szCs w:val="24"/>
        </w:rPr>
        <w:t xml:space="preserve">3 </w:t>
      </w:r>
      <w:r w:rsidRPr="00F65800">
        <w:rPr>
          <w:rFonts w:ascii="Times New Roman" w:hAnsi="Times New Roman" w:cs="Times New Roman"/>
          <w:b/>
          <w:sz w:val="24"/>
          <w:szCs w:val="24"/>
          <w:u w:val="single"/>
        </w:rPr>
        <w:t>Conclusion</w:t>
      </w:r>
    </w:p>
    <w:p w:rsidR="0034312E" w:rsidRPr="0034312E" w:rsidRDefault="0034312E" w:rsidP="0034312E">
      <w:pPr>
        <w:spacing w:after="200"/>
        <w:rPr>
          <w:rFonts w:ascii="Times New Roman" w:hAnsi="Times New Roman" w:cs="Times New Roman"/>
          <w:sz w:val="24"/>
          <w:szCs w:val="24"/>
        </w:rPr>
      </w:pPr>
      <w:r w:rsidRPr="0034312E">
        <w:rPr>
          <w:rFonts w:ascii="Times New Roman" w:hAnsi="Times New Roman" w:cs="Times New Roman"/>
          <w:sz w:val="24"/>
          <w:szCs w:val="24"/>
        </w:rPr>
        <w:t xml:space="preserve">The results obtained in this study could help in making optimised policy decisions relative to the development of intermodal transportation in Belgium including environmental aspects and allowing the pollution reduction of direct emissions. Moreover, environmental impacts (including effects on human health and ecosystems) and negative external cost will be a criterion to help in decision-making concerning future developments for rail transportation. </w:t>
      </w:r>
    </w:p>
    <w:p w:rsidR="0034312E" w:rsidRDefault="0034312E" w:rsidP="0034312E">
      <w:pPr>
        <w:spacing w:after="200"/>
        <w:rPr>
          <w:rFonts w:ascii="Times New Roman" w:hAnsi="Times New Roman" w:cs="Times New Roman"/>
          <w:sz w:val="24"/>
          <w:szCs w:val="24"/>
        </w:rPr>
      </w:pPr>
      <w:r w:rsidRPr="0034312E">
        <w:rPr>
          <w:rFonts w:ascii="Times New Roman" w:hAnsi="Times New Roman" w:cs="Times New Roman"/>
          <w:sz w:val="24"/>
          <w:szCs w:val="24"/>
        </w:rPr>
        <w:t>The combination between the LCA approach and monetization of impacts will allow obtaining a precise analysis of external costs of rail transport (RICARDO AEA, 2014), and then provide information to promote this intermodal transportation. Moreover, a comparison between the most plausible scenarios of rail, road, inland waterways freight transport or combinations of them will be made.</w:t>
      </w:r>
    </w:p>
    <w:p w:rsidR="0034312E" w:rsidRPr="0034312E" w:rsidRDefault="0034312E" w:rsidP="0034312E">
      <w:pPr>
        <w:spacing w:after="200"/>
        <w:rPr>
          <w:rFonts w:ascii="Times New Roman" w:hAnsi="Times New Roman" w:cs="Times New Roman"/>
          <w:sz w:val="24"/>
          <w:szCs w:val="24"/>
        </w:rPr>
      </w:pPr>
      <w:r w:rsidRPr="0034312E">
        <w:rPr>
          <w:rFonts w:ascii="Times New Roman" w:hAnsi="Times New Roman" w:cs="Times New Roman"/>
          <w:sz w:val="24"/>
          <w:szCs w:val="24"/>
        </w:rPr>
        <w:t xml:space="preserve">The results also improve the accuracy of transport databases and potentially improve the environmental impact of transport. Results will highlight clues of improvement in terms of rail transportation for several impact categories in e.g. climate change, ecotoxicity, acidification or </w:t>
      </w:r>
      <w:r w:rsidRPr="0034312E">
        <w:rPr>
          <w:rFonts w:ascii="Times New Roman" w:hAnsi="Times New Roman" w:cs="Times New Roman"/>
          <w:bCs/>
          <w:sz w:val="24"/>
          <w:szCs w:val="24"/>
        </w:rPr>
        <w:t>human toxicity (cancer and non-cancer related).</w:t>
      </w:r>
      <w:r w:rsidRPr="0034312E">
        <w:rPr>
          <w:rFonts w:ascii="Times New Roman" w:hAnsi="Times New Roman" w:cs="Times New Roman"/>
          <w:sz w:val="24"/>
          <w:szCs w:val="24"/>
        </w:rPr>
        <w:t xml:space="preserve"> </w:t>
      </w:r>
    </w:p>
    <w:p w:rsidR="00D3485B" w:rsidRDefault="00D3485B" w:rsidP="0034312E">
      <w:pPr>
        <w:spacing w:after="200"/>
        <w:rPr>
          <w:rFonts w:ascii="Times New Roman" w:hAnsi="Times New Roman" w:cs="Times New Roman"/>
          <w:sz w:val="24"/>
          <w:szCs w:val="24"/>
        </w:rPr>
      </w:pPr>
    </w:p>
    <w:p w:rsidR="006C178F" w:rsidRPr="0034312E" w:rsidRDefault="006C178F" w:rsidP="001057DB">
      <w:pPr>
        <w:spacing w:after="200"/>
        <w:rPr>
          <w:rFonts w:ascii="Times New Roman" w:hAnsi="Times New Roman" w:cs="Times New Roman"/>
          <w:b/>
          <w:sz w:val="24"/>
          <w:szCs w:val="24"/>
          <w:u w:val="single"/>
        </w:rPr>
      </w:pPr>
      <w:r w:rsidRPr="0034312E">
        <w:rPr>
          <w:rFonts w:ascii="Times New Roman" w:hAnsi="Times New Roman" w:cs="Times New Roman"/>
          <w:b/>
          <w:sz w:val="24"/>
          <w:szCs w:val="24"/>
          <w:u w:val="single"/>
        </w:rPr>
        <w:t>Acknowledgement</w:t>
      </w:r>
    </w:p>
    <w:p w:rsidR="006C178F" w:rsidRDefault="006C178F" w:rsidP="001057DB">
      <w:pPr>
        <w:spacing w:after="200"/>
        <w:rPr>
          <w:rFonts w:ascii="Times New Roman" w:hAnsi="Times New Roman" w:cs="Times New Roman"/>
          <w:bCs/>
          <w:sz w:val="24"/>
          <w:szCs w:val="24"/>
        </w:rPr>
      </w:pPr>
      <w:r>
        <w:rPr>
          <w:rFonts w:ascii="Times New Roman" w:hAnsi="Times New Roman" w:cs="Times New Roman"/>
          <w:sz w:val="24"/>
          <w:szCs w:val="24"/>
        </w:rPr>
        <w:t xml:space="preserve">The </w:t>
      </w:r>
      <w:r w:rsidRPr="00335235">
        <w:rPr>
          <w:rFonts w:ascii="Times New Roman" w:hAnsi="Times New Roman" w:cs="Times New Roman"/>
          <w:bCs/>
          <w:sz w:val="24"/>
          <w:szCs w:val="24"/>
        </w:rPr>
        <w:t>researches underlying these results have been financed by the Belgian Science Policy under Contract No. [BR/132/A4/BRAIN-TRAINS</w:t>
      </w:r>
      <w:r>
        <w:rPr>
          <w:rFonts w:ascii="Times New Roman" w:hAnsi="Times New Roman" w:cs="Times New Roman"/>
          <w:bCs/>
          <w:sz w:val="24"/>
          <w:szCs w:val="24"/>
        </w:rPr>
        <w:t>].</w:t>
      </w:r>
    </w:p>
    <w:p w:rsidR="006C178F" w:rsidRPr="00F65800" w:rsidRDefault="006C178F" w:rsidP="001057DB">
      <w:pPr>
        <w:spacing w:after="200"/>
        <w:rPr>
          <w:rFonts w:ascii="Times New Roman" w:hAnsi="Times New Roman" w:cs="Times New Roman"/>
          <w:b/>
          <w:bCs/>
          <w:sz w:val="24"/>
          <w:szCs w:val="24"/>
          <w:u w:val="single"/>
        </w:rPr>
      </w:pPr>
      <w:r w:rsidRPr="00F65800">
        <w:rPr>
          <w:rFonts w:ascii="Times New Roman" w:hAnsi="Times New Roman" w:cs="Times New Roman"/>
          <w:b/>
          <w:bCs/>
          <w:sz w:val="24"/>
          <w:szCs w:val="24"/>
          <w:u w:val="single"/>
        </w:rPr>
        <w:t>References</w:t>
      </w:r>
    </w:p>
    <w:p w:rsidR="004D534D" w:rsidRDefault="004D534D" w:rsidP="001057DB">
      <w:pPr>
        <w:spacing w:after="200"/>
        <w:rPr>
          <w:rFonts w:ascii="Times New Roman" w:hAnsi="Times New Roman" w:cs="Times New Roman"/>
          <w:bCs/>
          <w:sz w:val="24"/>
          <w:szCs w:val="24"/>
          <w:lang w:val="nl-BE"/>
        </w:rPr>
      </w:pPr>
      <w:r>
        <w:rPr>
          <w:rFonts w:ascii="Times New Roman" w:hAnsi="Times New Roman" w:cs="Times New Roman"/>
          <w:bCs/>
          <w:sz w:val="24"/>
          <w:szCs w:val="24"/>
        </w:rPr>
        <w:t xml:space="preserve">Althaus, </w:t>
      </w:r>
      <w:r w:rsidRPr="004D534D">
        <w:rPr>
          <w:rFonts w:ascii="Times New Roman" w:hAnsi="Times New Roman" w:cs="Times New Roman"/>
          <w:bCs/>
          <w:sz w:val="24"/>
          <w:szCs w:val="24"/>
          <w:lang w:val="nl-BE"/>
        </w:rPr>
        <w:t>H.</w:t>
      </w:r>
      <w:r w:rsidR="00237617">
        <w:rPr>
          <w:rFonts w:ascii="Times New Roman" w:hAnsi="Times New Roman" w:cs="Times New Roman"/>
          <w:bCs/>
          <w:sz w:val="24"/>
          <w:szCs w:val="24"/>
          <w:lang w:val="nl-BE"/>
        </w:rPr>
        <w:t>J., de Haan, P., Scholz, R.</w:t>
      </w:r>
      <w:r w:rsidRPr="004D534D">
        <w:rPr>
          <w:rFonts w:ascii="Times New Roman" w:hAnsi="Times New Roman" w:cs="Times New Roman"/>
          <w:bCs/>
          <w:sz w:val="24"/>
          <w:szCs w:val="24"/>
          <w:lang w:val="nl-BE"/>
        </w:rPr>
        <w:t xml:space="preserve">W. (2009) </w:t>
      </w:r>
      <w:r w:rsidRPr="004D534D">
        <w:rPr>
          <w:rFonts w:ascii="Times New Roman" w:hAnsi="Times New Roman" w:cs="Times New Roman"/>
          <w:bCs/>
          <w:i/>
          <w:sz w:val="24"/>
          <w:szCs w:val="24"/>
          <w:lang w:val="nl-BE"/>
        </w:rPr>
        <w:t>Part 1: state-of-science and requirement profile for consistent context-sensitive integration of traffic noise in LCA</w:t>
      </w:r>
      <w:r w:rsidRPr="004D534D">
        <w:rPr>
          <w:rFonts w:ascii="Times New Roman" w:hAnsi="Times New Roman" w:cs="Times New Roman"/>
          <w:bCs/>
          <w:sz w:val="24"/>
          <w:szCs w:val="24"/>
          <w:lang w:val="nl-BE"/>
        </w:rPr>
        <w:t>. The International Journal of Life Cycle Assessment, Volume 14, pp 560-57</w:t>
      </w:r>
      <w:r>
        <w:rPr>
          <w:rFonts w:ascii="Times New Roman" w:hAnsi="Times New Roman" w:cs="Times New Roman"/>
          <w:bCs/>
          <w:sz w:val="24"/>
          <w:szCs w:val="24"/>
          <w:lang w:val="nl-BE"/>
        </w:rPr>
        <w:t>0.</w:t>
      </w:r>
    </w:p>
    <w:p w:rsidR="003F014F" w:rsidRPr="003F014F" w:rsidRDefault="003F014F" w:rsidP="003F014F">
      <w:pPr>
        <w:spacing w:after="200"/>
        <w:rPr>
          <w:rFonts w:ascii="Times New Roman" w:hAnsi="Times New Roman" w:cs="Times New Roman"/>
          <w:bCs/>
          <w:sz w:val="24"/>
          <w:szCs w:val="24"/>
        </w:rPr>
      </w:pPr>
      <w:r w:rsidRPr="003F014F">
        <w:rPr>
          <w:rFonts w:ascii="Times New Roman" w:hAnsi="Times New Roman" w:cs="Times New Roman"/>
          <w:bCs/>
          <w:sz w:val="24"/>
          <w:szCs w:val="24"/>
        </w:rPr>
        <w:t>Botniabanan A</w:t>
      </w:r>
      <w:r w:rsidR="00F22ECC">
        <w:rPr>
          <w:rFonts w:ascii="Times New Roman" w:hAnsi="Times New Roman" w:cs="Times New Roman"/>
          <w:bCs/>
          <w:sz w:val="24"/>
          <w:szCs w:val="24"/>
        </w:rPr>
        <w:t>B (2010) Environmental Product D</w:t>
      </w:r>
      <w:r w:rsidRPr="003F014F">
        <w:rPr>
          <w:rFonts w:ascii="Times New Roman" w:hAnsi="Times New Roman" w:cs="Times New Roman"/>
          <w:bCs/>
          <w:sz w:val="24"/>
          <w:szCs w:val="24"/>
        </w:rPr>
        <w:t>eclaration (EPD) UN CPC 53212 for power, signalling and telecom systems on the Bothnia Line.</w:t>
      </w:r>
    </w:p>
    <w:p w:rsidR="003F014F" w:rsidRPr="003F014F" w:rsidRDefault="003F014F" w:rsidP="003F014F">
      <w:pPr>
        <w:spacing w:after="200"/>
        <w:rPr>
          <w:rFonts w:ascii="Times New Roman" w:hAnsi="Times New Roman" w:cs="Times New Roman"/>
          <w:bCs/>
          <w:sz w:val="24"/>
          <w:szCs w:val="24"/>
        </w:rPr>
      </w:pPr>
      <w:r w:rsidRPr="003F014F">
        <w:rPr>
          <w:rFonts w:ascii="Times New Roman" w:hAnsi="Times New Roman" w:cs="Times New Roman"/>
          <w:bCs/>
          <w:sz w:val="24"/>
          <w:szCs w:val="24"/>
        </w:rPr>
        <w:t>Botniabanan A</w:t>
      </w:r>
      <w:r w:rsidR="00F22ECC">
        <w:rPr>
          <w:rFonts w:ascii="Times New Roman" w:hAnsi="Times New Roman" w:cs="Times New Roman"/>
          <w:bCs/>
          <w:sz w:val="24"/>
          <w:szCs w:val="24"/>
        </w:rPr>
        <w:t>B (2010) Environmental Product D</w:t>
      </w:r>
      <w:r w:rsidRPr="003F014F">
        <w:rPr>
          <w:rFonts w:ascii="Times New Roman" w:hAnsi="Times New Roman" w:cs="Times New Roman"/>
          <w:bCs/>
          <w:sz w:val="24"/>
          <w:szCs w:val="24"/>
        </w:rPr>
        <w:t>eclaration (EPD) UN CPC 53212 for railway bridges on the Bothnia Line.</w:t>
      </w:r>
    </w:p>
    <w:p w:rsidR="003F014F" w:rsidRPr="003F014F" w:rsidRDefault="003F014F" w:rsidP="003F014F">
      <w:pPr>
        <w:spacing w:after="200"/>
        <w:rPr>
          <w:rFonts w:ascii="Times New Roman" w:hAnsi="Times New Roman" w:cs="Times New Roman"/>
          <w:bCs/>
          <w:sz w:val="24"/>
          <w:szCs w:val="24"/>
        </w:rPr>
      </w:pPr>
      <w:r w:rsidRPr="003F014F">
        <w:rPr>
          <w:rFonts w:ascii="Times New Roman" w:hAnsi="Times New Roman" w:cs="Times New Roman"/>
          <w:bCs/>
          <w:sz w:val="24"/>
          <w:szCs w:val="24"/>
        </w:rPr>
        <w:t>Botniabanan A</w:t>
      </w:r>
      <w:r w:rsidR="00F22ECC">
        <w:rPr>
          <w:rFonts w:ascii="Times New Roman" w:hAnsi="Times New Roman" w:cs="Times New Roman"/>
          <w:bCs/>
          <w:sz w:val="24"/>
          <w:szCs w:val="24"/>
        </w:rPr>
        <w:t>B (2010) Environmental Product D</w:t>
      </w:r>
      <w:r w:rsidRPr="003F014F">
        <w:rPr>
          <w:rFonts w:ascii="Times New Roman" w:hAnsi="Times New Roman" w:cs="Times New Roman"/>
          <w:bCs/>
          <w:sz w:val="24"/>
          <w:szCs w:val="24"/>
        </w:rPr>
        <w:t>eclaration (EPD) UN CPC 53212 for railway track foundations on the Bothnia Line.</w:t>
      </w:r>
    </w:p>
    <w:p w:rsidR="003F014F" w:rsidRDefault="003F014F" w:rsidP="001057DB">
      <w:pPr>
        <w:spacing w:after="200"/>
        <w:rPr>
          <w:rFonts w:ascii="Times New Roman" w:hAnsi="Times New Roman" w:cs="Times New Roman"/>
          <w:bCs/>
          <w:sz w:val="24"/>
          <w:szCs w:val="24"/>
        </w:rPr>
      </w:pPr>
      <w:r w:rsidRPr="003F014F">
        <w:rPr>
          <w:rFonts w:ascii="Times New Roman" w:hAnsi="Times New Roman" w:cs="Times New Roman"/>
          <w:bCs/>
          <w:sz w:val="24"/>
          <w:szCs w:val="24"/>
        </w:rPr>
        <w:t>Botniabanan A</w:t>
      </w:r>
      <w:r w:rsidR="00F22ECC">
        <w:rPr>
          <w:rFonts w:ascii="Times New Roman" w:hAnsi="Times New Roman" w:cs="Times New Roman"/>
          <w:bCs/>
          <w:sz w:val="24"/>
          <w:szCs w:val="24"/>
        </w:rPr>
        <w:t>B (2010) Environmental Product D</w:t>
      </w:r>
      <w:r w:rsidRPr="003F014F">
        <w:rPr>
          <w:rFonts w:ascii="Times New Roman" w:hAnsi="Times New Roman" w:cs="Times New Roman"/>
          <w:bCs/>
          <w:sz w:val="24"/>
          <w:szCs w:val="24"/>
        </w:rPr>
        <w:t>eclaration (EPD) UN CPC 53212 for railway tunnels on the Bothnia Line.</w:t>
      </w:r>
    </w:p>
    <w:p w:rsidR="008471C7" w:rsidRDefault="008471C7" w:rsidP="001057DB">
      <w:pPr>
        <w:spacing w:after="200"/>
        <w:rPr>
          <w:rFonts w:ascii="Times New Roman" w:hAnsi="Times New Roman" w:cs="Times New Roman"/>
          <w:sz w:val="24"/>
          <w:szCs w:val="24"/>
        </w:rPr>
      </w:pPr>
      <w:r>
        <w:rPr>
          <w:rFonts w:ascii="Times New Roman" w:hAnsi="Times New Roman" w:cs="Times New Roman"/>
          <w:bCs/>
          <w:sz w:val="24"/>
          <w:szCs w:val="24"/>
        </w:rPr>
        <w:lastRenderedPageBreak/>
        <w:t xml:space="preserve">Crozet, </w:t>
      </w:r>
      <w:r w:rsidRPr="008471C7">
        <w:rPr>
          <w:rFonts w:ascii="Times New Roman" w:hAnsi="Times New Roman" w:cs="Times New Roman"/>
          <w:sz w:val="24"/>
          <w:szCs w:val="24"/>
        </w:rPr>
        <w:t xml:space="preserve">Y., Haucap, J., Pagel, B., Musso, A., </w:t>
      </w:r>
      <w:r w:rsidR="0088514E">
        <w:rPr>
          <w:rFonts w:ascii="Times New Roman" w:hAnsi="Times New Roman" w:cs="Times New Roman"/>
          <w:sz w:val="24"/>
          <w:szCs w:val="24"/>
        </w:rPr>
        <w:t xml:space="preserve">Piccioni, C., </w:t>
      </w:r>
      <w:r w:rsidRPr="008471C7">
        <w:rPr>
          <w:rFonts w:ascii="Times New Roman" w:hAnsi="Times New Roman" w:cs="Times New Roman"/>
          <w:sz w:val="24"/>
          <w:szCs w:val="24"/>
        </w:rPr>
        <w:t xml:space="preserve">Van de Voorde, </w:t>
      </w:r>
      <w:r w:rsidR="003F0274">
        <w:rPr>
          <w:rFonts w:ascii="Times New Roman" w:hAnsi="Times New Roman" w:cs="Times New Roman"/>
          <w:sz w:val="24"/>
          <w:szCs w:val="24"/>
        </w:rPr>
        <w:t xml:space="preserve">E., Vanelslander, T., </w:t>
      </w:r>
      <w:r w:rsidR="0088514E">
        <w:rPr>
          <w:rFonts w:ascii="Times New Roman" w:hAnsi="Times New Roman" w:cs="Times New Roman"/>
          <w:sz w:val="24"/>
          <w:szCs w:val="24"/>
        </w:rPr>
        <w:t>Wood</w:t>
      </w:r>
      <w:r w:rsidR="00F05761">
        <w:rPr>
          <w:rFonts w:ascii="Times New Roman" w:hAnsi="Times New Roman" w:cs="Times New Roman"/>
          <w:sz w:val="24"/>
          <w:szCs w:val="24"/>
        </w:rPr>
        <w:t>burn, A. (2014)</w:t>
      </w:r>
      <w:r w:rsidRPr="008471C7">
        <w:rPr>
          <w:rFonts w:ascii="Times New Roman" w:hAnsi="Times New Roman" w:cs="Times New Roman"/>
          <w:sz w:val="24"/>
          <w:szCs w:val="24"/>
        </w:rPr>
        <w:t xml:space="preserve"> </w:t>
      </w:r>
      <w:r w:rsidRPr="003F0274">
        <w:rPr>
          <w:rFonts w:ascii="Times New Roman" w:hAnsi="Times New Roman" w:cs="Times New Roman"/>
          <w:i/>
          <w:sz w:val="24"/>
          <w:szCs w:val="24"/>
        </w:rPr>
        <w:t>Development of rail freight in Europe: What regulation can and cannot do</w:t>
      </w:r>
      <w:r w:rsidR="003F0274">
        <w:rPr>
          <w:rFonts w:ascii="Times New Roman" w:hAnsi="Times New Roman" w:cs="Times New Roman"/>
          <w:i/>
          <w:sz w:val="24"/>
          <w:szCs w:val="24"/>
        </w:rPr>
        <w:t>. CERRE policy paper</w:t>
      </w:r>
      <w:r w:rsidRPr="008471C7">
        <w:rPr>
          <w:rFonts w:ascii="Times New Roman" w:hAnsi="Times New Roman" w:cs="Times New Roman"/>
          <w:sz w:val="24"/>
          <w:szCs w:val="24"/>
        </w:rPr>
        <w:t>. Centre on Regulation in Europe (CERRE</w:t>
      </w:r>
      <w:r>
        <w:rPr>
          <w:rFonts w:ascii="Times New Roman" w:hAnsi="Times New Roman" w:cs="Times New Roman"/>
          <w:sz w:val="24"/>
          <w:szCs w:val="24"/>
        </w:rPr>
        <w:t>).</w:t>
      </w:r>
    </w:p>
    <w:p w:rsidR="004D534D" w:rsidRDefault="004D534D" w:rsidP="001057DB">
      <w:pPr>
        <w:spacing w:after="200"/>
        <w:rPr>
          <w:rFonts w:ascii="Times New Roman" w:hAnsi="Times New Roman" w:cs="Times New Roman"/>
          <w:sz w:val="24"/>
          <w:szCs w:val="24"/>
        </w:rPr>
      </w:pPr>
      <w:r>
        <w:rPr>
          <w:rFonts w:ascii="Times New Roman" w:hAnsi="Times New Roman" w:cs="Times New Roman"/>
          <w:sz w:val="24"/>
          <w:szCs w:val="24"/>
        </w:rPr>
        <w:t xml:space="preserve">Cucurachi, </w:t>
      </w:r>
      <w:r w:rsidRPr="004D534D">
        <w:rPr>
          <w:rFonts w:ascii="Times New Roman" w:hAnsi="Times New Roman" w:cs="Times New Roman"/>
          <w:bCs/>
          <w:sz w:val="24"/>
          <w:szCs w:val="24"/>
          <w:lang w:val="nl-BE"/>
        </w:rPr>
        <w:t xml:space="preserve">S., Heijungs, R., Ohlau, K. (2012) </w:t>
      </w:r>
      <w:r w:rsidRPr="004D534D">
        <w:rPr>
          <w:rFonts w:ascii="Times New Roman" w:hAnsi="Times New Roman" w:cs="Times New Roman"/>
          <w:bCs/>
          <w:i/>
          <w:sz w:val="24"/>
          <w:szCs w:val="24"/>
          <w:lang w:val="nl-BE"/>
        </w:rPr>
        <w:t>Towards a general framework for including noise impacts in LCA</w:t>
      </w:r>
      <w:r w:rsidRPr="004D534D">
        <w:rPr>
          <w:rFonts w:ascii="Times New Roman" w:hAnsi="Times New Roman" w:cs="Times New Roman"/>
          <w:bCs/>
          <w:sz w:val="24"/>
          <w:szCs w:val="24"/>
          <w:lang w:val="nl-BE"/>
        </w:rPr>
        <w:t>. The International Journal of Life Cycle Assessment, Volume 17, pp 471-48</w:t>
      </w:r>
      <w:r>
        <w:rPr>
          <w:rFonts w:ascii="Times New Roman" w:hAnsi="Times New Roman" w:cs="Times New Roman"/>
          <w:bCs/>
          <w:sz w:val="24"/>
          <w:szCs w:val="24"/>
          <w:lang w:val="nl-BE"/>
        </w:rPr>
        <w:t>7.</w:t>
      </w:r>
    </w:p>
    <w:p w:rsidR="003F014F" w:rsidRDefault="00F05761" w:rsidP="001057DB">
      <w:pPr>
        <w:spacing w:after="200"/>
        <w:rPr>
          <w:rFonts w:ascii="Times New Roman" w:hAnsi="Times New Roman" w:cs="Times New Roman"/>
          <w:sz w:val="24"/>
          <w:szCs w:val="24"/>
        </w:rPr>
      </w:pPr>
      <w:r>
        <w:rPr>
          <w:rFonts w:ascii="Times New Roman" w:hAnsi="Times New Roman" w:cs="Times New Roman"/>
          <w:sz w:val="24"/>
          <w:szCs w:val="24"/>
        </w:rPr>
        <w:t xml:space="preserve">Demir, E., Huang, Y., Scholts, S., Van Woensel, T. (2015) </w:t>
      </w:r>
      <w:r w:rsidRPr="00F05761">
        <w:rPr>
          <w:rFonts w:ascii="Times New Roman" w:hAnsi="Times New Roman" w:cs="Times New Roman"/>
          <w:i/>
          <w:sz w:val="24"/>
          <w:szCs w:val="24"/>
        </w:rPr>
        <w:t>A selected review on the negative externalities of the freight transportation: Modelling and pricing</w:t>
      </w:r>
      <w:r>
        <w:rPr>
          <w:rFonts w:ascii="Times New Roman" w:hAnsi="Times New Roman" w:cs="Times New Roman"/>
          <w:sz w:val="24"/>
          <w:szCs w:val="24"/>
        </w:rPr>
        <w:t>. Transportation Research Part E: Logistics and Transportation Review, Volume 77, pp. 95-114.</w:t>
      </w:r>
    </w:p>
    <w:p w:rsidR="000E758C" w:rsidRPr="008471C7" w:rsidRDefault="000E758C" w:rsidP="001057DB">
      <w:pPr>
        <w:spacing w:after="200"/>
        <w:rPr>
          <w:rFonts w:ascii="Times New Roman" w:hAnsi="Times New Roman" w:cs="Times New Roman"/>
          <w:sz w:val="24"/>
          <w:szCs w:val="24"/>
        </w:rPr>
      </w:pPr>
      <w:r>
        <w:rPr>
          <w:rFonts w:ascii="Times New Roman" w:hAnsi="Times New Roman" w:cs="Times New Roman"/>
          <w:sz w:val="24"/>
          <w:szCs w:val="24"/>
        </w:rPr>
        <w:t xml:space="preserve">European Environment Agency (2008) </w:t>
      </w:r>
      <w:r w:rsidRPr="006F2C2D">
        <w:rPr>
          <w:rFonts w:ascii="Times New Roman" w:hAnsi="Times New Roman" w:cs="Times New Roman"/>
          <w:i/>
          <w:sz w:val="24"/>
          <w:szCs w:val="24"/>
        </w:rPr>
        <w:t>Climate for a transport change. TERM 2007: indicators tracking transport and environment in the European Union</w:t>
      </w:r>
      <w:r>
        <w:rPr>
          <w:rFonts w:ascii="Times New Roman" w:hAnsi="Times New Roman" w:cs="Times New Roman"/>
          <w:sz w:val="24"/>
          <w:szCs w:val="24"/>
        </w:rPr>
        <w:t>. Office for Official Publications of the European Communities, Luxembourg.</w:t>
      </w:r>
    </w:p>
    <w:p w:rsidR="00F05761" w:rsidRDefault="00F05761" w:rsidP="00F05761">
      <w:pPr>
        <w:spacing w:after="200"/>
        <w:rPr>
          <w:rFonts w:ascii="Times New Roman" w:hAnsi="Times New Roman" w:cs="Times New Roman"/>
          <w:sz w:val="24"/>
        </w:rPr>
      </w:pPr>
      <w:r>
        <w:rPr>
          <w:rFonts w:ascii="Times New Roman" w:hAnsi="Times New Roman" w:cs="Times New Roman"/>
          <w:sz w:val="24"/>
        </w:rPr>
        <w:t xml:space="preserve">EUROSTAT (2015) Eurostat Statistics, viewed March 24, 2015. </w:t>
      </w:r>
      <w:hyperlink r:id="rId10" w:history="1">
        <w:r w:rsidRPr="00AA098D">
          <w:rPr>
            <w:rStyle w:val="Hyperlink"/>
            <w:rFonts w:ascii="Times New Roman" w:hAnsi="Times New Roman" w:cs="Times New Roman"/>
            <w:sz w:val="24"/>
          </w:rPr>
          <w:t>http://ec.europa.eu/eurostat/data/database</w:t>
        </w:r>
      </w:hyperlink>
      <w:r>
        <w:rPr>
          <w:rFonts w:ascii="Times New Roman" w:hAnsi="Times New Roman" w:cs="Times New Roman"/>
          <w:sz w:val="24"/>
        </w:rPr>
        <w:t xml:space="preserve"> .</w:t>
      </w:r>
    </w:p>
    <w:p w:rsidR="00D57E72" w:rsidRDefault="00D57E72" w:rsidP="001057DB">
      <w:pPr>
        <w:spacing w:after="200"/>
        <w:rPr>
          <w:rFonts w:ascii="Times New Roman" w:hAnsi="Times New Roman" w:cs="Times New Roman"/>
          <w:bCs/>
          <w:sz w:val="24"/>
          <w:szCs w:val="24"/>
          <w:lang w:val="nl-BE"/>
        </w:rPr>
      </w:pPr>
      <w:r>
        <w:rPr>
          <w:rFonts w:ascii="Times New Roman" w:hAnsi="Times New Roman" w:cs="Times New Roman"/>
          <w:bCs/>
          <w:sz w:val="24"/>
          <w:szCs w:val="24"/>
        </w:rPr>
        <w:t xml:space="preserve">European </w:t>
      </w:r>
      <w:r w:rsidRPr="00D57E72">
        <w:rPr>
          <w:rFonts w:ascii="Times New Roman" w:hAnsi="Times New Roman" w:cs="Times New Roman"/>
          <w:bCs/>
          <w:sz w:val="24"/>
          <w:szCs w:val="24"/>
          <w:lang w:val="nl-BE"/>
        </w:rPr>
        <w:t>Commission - Joint Research Centre - Institute for Environment and Sustainability (2010</w:t>
      </w:r>
      <w:r w:rsidRPr="00D57E72">
        <w:rPr>
          <w:rFonts w:ascii="Times New Roman" w:hAnsi="Times New Roman" w:cs="Times New Roman"/>
          <w:bCs/>
          <w:i/>
          <w:sz w:val="24"/>
          <w:szCs w:val="24"/>
          <w:lang w:val="nl-BE"/>
        </w:rPr>
        <w:t>) International Reference Life Cycle Data System (ILCD) Handbook - General guide for Life Cycle Assessment - Detailed guidance</w:t>
      </w:r>
      <w:r w:rsidRPr="00D57E72">
        <w:rPr>
          <w:rFonts w:ascii="Times New Roman" w:hAnsi="Times New Roman" w:cs="Times New Roman"/>
          <w:bCs/>
          <w:sz w:val="24"/>
          <w:szCs w:val="24"/>
          <w:lang w:val="nl-BE"/>
        </w:rPr>
        <w:t>. First edition March 2010. EUR 24708 EN. Publications Office of the European Union</w:t>
      </w:r>
      <w:r>
        <w:rPr>
          <w:rFonts w:ascii="Times New Roman" w:hAnsi="Times New Roman" w:cs="Times New Roman"/>
          <w:bCs/>
          <w:sz w:val="24"/>
          <w:szCs w:val="24"/>
          <w:lang w:val="nl-BE"/>
        </w:rPr>
        <w:t>: Luxembourg.</w:t>
      </w:r>
    </w:p>
    <w:p w:rsidR="00D57E72" w:rsidRDefault="00D57E72" w:rsidP="001057DB">
      <w:pPr>
        <w:spacing w:after="200"/>
        <w:rPr>
          <w:rFonts w:ascii="Times New Roman" w:hAnsi="Times New Roman" w:cs="Times New Roman"/>
          <w:bCs/>
          <w:sz w:val="24"/>
          <w:szCs w:val="24"/>
        </w:rPr>
      </w:pPr>
      <w:r>
        <w:rPr>
          <w:rFonts w:ascii="Times New Roman" w:hAnsi="Times New Roman" w:cs="Times New Roman"/>
          <w:bCs/>
          <w:sz w:val="24"/>
          <w:szCs w:val="24"/>
          <w:lang w:val="nl-BE"/>
        </w:rPr>
        <w:t xml:space="preserve">European </w:t>
      </w:r>
      <w:r w:rsidRPr="00D57E72">
        <w:rPr>
          <w:rFonts w:ascii="Times New Roman" w:hAnsi="Times New Roman" w:cs="Times New Roman"/>
          <w:bCs/>
          <w:sz w:val="24"/>
          <w:szCs w:val="24"/>
          <w:lang w:val="nl-BE"/>
        </w:rPr>
        <w:t xml:space="preserve">Commission - Joint Research Centre - Institute for Environment and Sustainability (2011) International Reference Life Cycle Data System (ILCD) </w:t>
      </w:r>
      <w:r w:rsidRPr="00D57E72">
        <w:rPr>
          <w:rFonts w:ascii="Times New Roman" w:hAnsi="Times New Roman" w:cs="Times New Roman"/>
          <w:bCs/>
          <w:i/>
          <w:sz w:val="24"/>
          <w:szCs w:val="24"/>
          <w:lang w:val="nl-BE"/>
        </w:rPr>
        <w:t>Handbook- Recommendations for Life Cycle Impact Assessment in the European context</w:t>
      </w:r>
      <w:r w:rsidRPr="00D57E72">
        <w:rPr>
          <w:rFonts w:ascii="Times New Roman" w:hAnsi="Times New Roman" w:cs="Times New Roman"/>
          <w:bCs/>
          <w:sz w:val="24"/>
          <w:szCs w:val="24"/>
          <w:lang w:val="nl-BE"/>
        </w:rPr>
        <w:t>. First edition November 2011. EUR 24571 EN. Publications Office of the European Union:</w:t>
      </w:r>
      <w:r>
        <w:rPr>
          <w:rFonts w:ascii="Times New Roman" w:hAnsi="Times New Roman" w:cs="Times New Roman"/>
          <w:bCs/>
          <w:sz w:val="24"/>
          <w:szCs w:val="24"/>
          <w:lang w:val="nl-BE"/>
        </w:rPr>
        <w:t xml:space="preserve"> Luxembourg.</w:t>
      </w:r>
    </w:p>
    <w:p w:rsidR="006C178F" w:rsidRDefault="006C178F" w:rsidP="001057DB">
      <w:pPr>
        <w:spacing w:after="200"/>
        <w:rPr>
          <w:rFonts w:ascii="Times New Roman" w:hAnsi="Times New Roman" w:cs="Times New Roman"/>
          <w:sz w:val="24"/>
        </w:rPr>
      </w:pPr>
      <w:r w:rsidRPr="006C178F">
        <w:rPr>
          <w:rFonts w:ascii="Times New Roman" w:hAnsi="Times New Roman" w:cs="Times New Roman"/>
          <w:bCs/>
          <w:sz w:val="24"/>
          <w:szCs w:val="24"/>
        </w:rPr>
        <w:t>E</w:t>
      </w:r>
      <w:r w:rsidRPr="006C178F">
        <w:rPr>
          <w:rFonts w:ascii="Times New Roman" w:hAnsi="Times New Roman" w:cs="Times New Roman"/>
          <w:sz w:val="24"/>
        </w:rPr>
        <w:t xml:space="preserve">uropean Commission (2011) </w:t>
      </w:r>
      <w:r w:rsidRPr="006C178F">
        <w:rPr>
          <w:rFonts w:ascii="Times New Roman" w:hAnsi="Times New Roman" w:cs="Times New Roman"/>
          <w:i/>
          <w:sz w:val="24"/>
        </w:rPr>
        <w:t>White Paper on transport. Roadmap</w:t>
      </w:r>
      <w:r>
        <w:rPr>
          <w:rFonts w:ascii="Times New Roman" w:hAnsi="Times New Roman" w:cs="Times New Roman"/>
          <w:i/>
          <w:sz w:val="24"/>
        </w:rPr>
        <w:t xml:space="preserve"> to a single European </w:t>
      </w:r>
      <w:r w:rsidRPr="006C178F">
        <w:rPr>
          <w:rFonts w:ascii="Times New Roman" w:hAnsi="Times New Roman" w:cs="Times New Roman"/>
          <w:i/>
          <w:sz w:val="24"/>
        </w:rPr>
        <w:t>transport area – Towards a competitive and resource-efficient transport system</w:t>
      </w:r>
      <w:r w:rsidRPr="006C178F">
        <w:rPr>
          <w:rFonts w:ascii="Times New Roman" w:hAnsi="Times New Roman" w:cs="Times New Roman"/>
          <w:sz w:val="24"/>
        </w:rPr>
        <w:t>. Directorate-General for Mobility and Transpo</w:t>
      </w:r>
      <w:r>
        <w:rPr>
          <w:rFonts w:ascii="Times New Roman" w:hAnsi="Times New Roman" w:cs="Times New Roman"/>
          <w:sz w:val="24"/>
        </w:rPr>
        <w:t>rt.</w:t>
      </w:r>
    </w:p>
    <w:p w:rsidR="008471C7" w:rsidRDefault="008471C7" w:rsidP="001057DB">
      <w:pPr>
        <w:spacing w:after="200"/>
        <w:rPr>
          <w:rFonts w:ascii="Times New Roman" w:hAnsi="Times New Roman" w:cs="Times New Roman"/>
          <w:sz w:val="24"/>
        </w:rPr>
      </w:pPr>
      <w:r w:rsidRPr="00D200EA">
        <w:rPr>
          <w:rFonts w:ascii="Times New Roman" w:hAnsi="Times New Roman" w:cs="Times New Roman"/>
          <w:sz w:val="24"/>
        </w:rPr>
        <w:t xml:space="preserve">European Commission (2014) </w:t>
      </w:r>
      <w:r w:rsidRPr="00D200EA">
        <w:rPr>
          <w:rFonts w:ascii="Times New Roman" w:hAnsi="Times New Roman" w:cs="Times New Roman"/>
          <w:i/>
          <w:sz w:val="24"/>
        </w:rPr>
        <w:t>EU transport in figures</w:t>
      </w:r>
      <w:r w:rsidR="00374152" w:rsidRPr="00D200EA">
        <w:rPr>
          <w:rFonts w:ascii="Times New Roman" w:hAnsi="Times New Roman" w:cs="Times New Roman"/>
          <w:i/>
          <w:sz w:val="24"/>
        </w:rPr>
        <w:t xml:space="preserve">. </w:t>
      </w:r>
      <w:r w:rsidR="00374152" w:rsidRPr="00D867B8">
        <w:rPr>
          <w:rFonts w:ascii="Times New Roman" w:hAnsi="Times New Roman" w:cs="Times New Roman"/>
          <w:i/>
          <w:sz w:val="24"/>
        </w:rPr>
        <w:t>Statistical Pocketbook 2014</w:t>
      </w:r>
      <w:r w:rsidR="00374152" w:rsidRPr="00374152">
        <w:rPr>
          <w:rFonts w:ascii="Times New Roman" w:hAnsi="Times New Roman" w:cs="Times New Roman"/>
          <w:sz w:val="24"/>
        </w:rPr>
        <w:t>. Publications Office of the European Union, Luxemburg.</w:t>
      </w:r>
    </w:p>
    <w:p w:rsidR="00B82102" w:rsidRDefault="00B82102" w:rsidP="001057DB">
      <w:pPr>
        <w:spacing w:after="200"/>
        <w:rPr>
          <w:rFonts w:ascii="Times New Roman" w:hAnsi="Times New Roman" w:cs="Times New Roman"/>
          <w:sz w:val="24"/>
        </w:rPr>
      </w:pPr>
      <w:r>
        <w:rPr>
          <w:rFonts w:ascii="Times New Roman" w:hAnsi="Times New Roman" w:cs="Times New Roman"/>
          <w:sz w:val="24"/>
        </w:rPr>
        <w:t xml:space="preserve">European Commission (2014) </w:t>
      </w:r>
      <w:r w:rsidRPr="00B82102">
        <w:rPr>
          <w:rFonts w:ascii="Times New Roman" w:hAnsi="Times New Roman" w:cs="Times New Roman"/>
          <w:sz w:val="24"/>
        </w:rPr>
        <w:t xml:space="preserve">Infrastructure – TEN-T – Connecting Europe. Retrieved from </w:t>
      </w:r>
      <w:hyperlink r:id="rId11" w:history="1">
        <w:r w:rsidRPr="006F79EC">
          <w:rPr>
            <w:rStyle w:val="Hyperlink"/>
            <w:rFonts w:ascii="Times New Roman" w:hAnsi="Times New Roman" w:cs="Times New Roman"/>
            <w:sz w:val="24"/>
          </w:rPr>
          <w:t>http://ec.europa.eu/transport/themes/infrastructure/ten-t-guidelines/corridors/corridor-studies_en.htm</w:t>
        </w:r>
      </w:hyperlink>
      <w:r>
        <w:rPr>
          <w:rFonts w:ascii="Times New Roman" w:hAnsi="Times New Roman" w:cs="Times New Roman"/>
          <w:sz w:val="24"/>
        </w:rPr>
        <w:t xml:space="preserve"> </w:t>
      </w:r>
    </w:p>
    <w:p w:rsidR="00855A86" w:rsidRDefault="00855A86" w:rsidP="001057DB">
      <w:pPr>
        <w:spacing w:after="200"/>
        <w:rPr>
          <w:rFonts w:ascii="Times New Roman" w:hAnsi="Times New Roman" w:cs="Times New Roman"/>
          <w:sz w:val="24"/>
        </w:rPr>
      </w:pPr>
      <w:r>
        <w:rPr>
          <w:rFonts w:ascii="Times New Roman" w:hAnsi="Times New Roman" w:cs="Times New Roman"/>
          <w:sz w:val="24"/>
        </w:rPr>
        <w:t xml:space="preserve">European Parliament (2010) </w:t>
      </w:r>
      <w:r w:rsidRPr="00855A86">
        <w:rPr>
          <w:rFonts w:ascii="Times New Roman" w:hAnsi="Times New Roman" w:cs="Times New Roman"/>
          <w:i/>
          <w:sz w:val="24"/>
        </w:rPr>
        <w:t>The future of sustainable freight transport and logistic</w:t>
      </w:r>
      <w:r>
        <w:rPr>
          <w:rFonts w:ascii="Times New Roman" w:hAnsi="Times New Roman" w:cs="Times New Roman"/>
          <w:sz w:val="24"/>
        </w:rPr>
        <w:t xml:space="preserve">. Workshop “The future of transport”. Directorate-General for internal policies. Policy department B: Structural and cohesion policies. Transport and Tourism. </w:t>
      </w:r>
    </w:p>
    <w:p w:rsidR="00D87DF7" w:rsidRPr="00374152" w:rsidRDefault="00D87DF7" w:rsidP="001057DB">
      <w:pPr>
        <w:spacing w:after="200"/>
        <w:rPr>
          <w:rFonts w:ascii="Times New Roman" w:hAnsi="Times New Roman" w:cs="Times New Roman"/>
          <w:sz w:val="24"/>
        </w:rPr>
      </w:pPr>
      <w:r>
        <w:rPr>
          <w:rFonts w:ascii="Times New Roman" w:hAnsi="Times New Roman" w:cs="Times New Roman"/>
          <w:sz w:val="24"/>
        </w:rPr>
        <w:t xml:space="preserve">Facanha, C., Horvath, A. (2006) </w:t>
      </w:r>
      <w:r w:rsidRPr="0081141A">
        <w:rPr>
          <w:rFonts w:ascii="Times New Roman" w:hAnsi="Times New Roman" w:cs="Times New Roman"/>
          <w:i/>
          <w:sz w:val="24"/>
        </w:rPr>
        <w:t>Environmental assessment of freight transportation in the U.S</w:t>
      </w:r>
      <w:r>
        <w:rPr>
          <w:rFonts w:ascii="Times New Roman" w:hAnsi="Times New Roman" w:cs="Times New Roman"/>
          <w:sz w:val="24"/>
        </w:rPr>
        <w:t>. The International Journal of Life Cycle Assessment, Volume 11, Issue 4, pp. 229-239.</w:t>
      </w:r>
    </w:p>
    <w:p w:rsidR="005C70A0" w:rsidRDefault="005C70A0" w:rsidP="005C70A0">
      <w:pPr>
        <w:spacing w:after="200"/>
        <w:rPr>
          <w:rFonts w:ascii="Times New Roman" w:hAnsi="Times New Roman" w:cs="Times New Roman"/>
          <w:sz w:val="24"/>
        </w:rPr>
      </w:pPr>
      <w:r>
        <w:rPr>
          <w:rFonts w:ascii="Times New Roman" w:hAnsi="Times New Roman" w:cs="Times New Roman"/>
          <w:bCs/>
          <w:sz w:val="24"/>
          <w:szCs w:val="24"/>
        </w:rPr>
        <w:lastRenderedPageBreak/>
        <w:t>F</w:t>
      </w:r>
      <w:r>
        <w:rPr>
          <w:rFonts w:ascii="Times New Roman" w:hAnsi="Times New Roman" w:cs="Times New Roman"/>
          <w:bCs/>
          <w:sz w:val="24"/>
        </w:rPr>
        <w:t>ries, N., Hellweg, S.</w:t>
      </w:r>
      <w:r w:rsidRPr="006C178F">
        <w:rPr>
          <w:rFonts w:ascii="Times New Roman" w:hAnsi="Times New Roman" w:cs="Times New Roman"/>
          <w:bCs/>
          <w:sz w:val="24"/>
        </w:rPr>
        <w:t xml:space="preserve"> (2014) </w:t>
      </w:r>
      <w:r w:rsidRPr="006C178F">
        <w:rPr>
          <w:rFonts w:ascii="Times New Roman" w:hAnsi="Times New Roman" w:cs="Times New Roman"/>
          <w:bCs/>
          <w:i/>
          <w:sz w:val="24"/>
        </w:rPr>
        <w:t>LCA of land-based freight transportation: facilitating practical application and including accidents in LCIA</w:t>
      </w:r>
      <w:r w:rsidRPr="006C178F">
        <w:rPr>
          <w:rFonts w:ascii="Times New Roman" w:hAnsi="Times New Roman" w:cs="Times New Roman"/>
          <w:bCs/>
          <w:sz w:val="24"/>
        </w:rPr>
        <w:t xml:space="preserve">. </w:t>
      </w:r>
      <w:r w:rsidRPr="006C178F">
        <w:rPr>
          <w:rFonts w:ascii="Times New Roman" w:hAnsi="Times New Roman" w:cs="Times New Roman"/>
          <w:sz w:val="24"/>
        </w:rPr>
        <w:t xml:space="preserve">The International Journal of </w:t>
      </w:r>
      <w:r>
        <w:rPr>
          <w:rFonts w:ascii="Times New Roman" w:hAnsi="Times New Roman" w:cs="Times New Roman"/>
          <w:sz w:val="24"/>
        </w:rPr>
        <w:t>Life Cycle Assessment, Volume</w:t>
      </w:r>
      <w:r w:rsidRPr="006C178F">
        <w:rPr>
          <w:rFonts w:ascii="Times New Roman" w:hAnsi="Times New Roman" w:cs="Times New Roman"/>
          <w:sz w:val="24"/>
        </w:rPr>
        <w:t xml:space="preserve"> 19, pp</w:t>
      </w:r>
      <w:r w:rsidR="00D87DF7">
        <w:rPr>
          <w:rFonts w:ascii="Times New Roman" w:hAnsi="Times New Roman" w:cs="Times New Roman"/>
          <w:sz w:val="24"/>
        </w:rPr>
        <w:t>.</w:t>
      </w:r>
      <w:r w:rsidRPr="006C178F">
        <w:rPr>
          <w:rFonts w:ascii="Times New Roman" w:hAnsi="Times New Roman" w:cs="Times New Roman"/>
          <w:sz w:val="24"/>
        </w:rPr>
        <w:t xml:space="preserve"> 546-55</w:t>
      </w:r>
      <w:r>
        <w:rPr>
          <w:rFonts w:ascii="Times New Roman" w:hAnsi="Times New Roman" w:cs="Times New Roman"/>
          <w:sz w:val="24"/>
        </w:rPr>
        <w:t>7.</w:t>
      </w:r>
    </w:p>
    <w:p w:rsidR="006C178F" w:rsidRPr="00D200EA" w:rsidRDefault="006C178F" w:rsidP="001057DB">
      <w:pPr>
        <w:spacing w:after="200"/>
        <w:rPr>
          <w:rFonts w:ascii="Times New Roman" w:hAnsi="Times New Roman" w:cs="Times New Roman"/>
          <w:sz w:val="24"/>
          <w:lang w:val="fr-FR"/>
        </w:rPr>
      </w:pPr>
      <w:r>
        <w:rPr>
          <w:rFonts w:ascii="Times New Roman" w:hAnsi="Times New Roman" w:cs="Times New Roman"/>
          <w:sz w:val="24"/>
        </w:rPr>
        <w:t>Hend</w:t>
      </w:r>
      <w:r w:rsidRPr="006C178F">
        <w:rPr>
          <w:rFonts w:ascii="Times New Roman" w:hAnsi="Times New Roman" w:cs="Times New Roman"/>
          <w:sz w:val="24"/>
        </w:rPr>
        <w:t xml:space="preserve">rikson, C., Scott Matthews, H., Cicas, G. (2006) </w:t>
      </w:r>
      <w:r w:rsidRPr="006C178F">
        <w:rPr>
          <w:rFonts w:ascii="Times New Roman" w:hAnsi="Times New Roman" w:cs="Times New Roman"/>
          <w:i/>
          <w:sz w:val="24"/>
        </w:rPr>
        <w:t>Analysis of regional supply chain economic and environmental effects of expansion of the US freight rail system</w:t>
      </w:r>
      <w:r w:rsidRPr="006C178F">
        <w:rPr>
          <w:rFonts w:ascii="Times New Roman" w:hAnsi="Times New Roman" w:cs="Times New Roman"/>
          <w:sz w:val="24"/>
        </w:rPr>
        <w:t xml:space="preserve">. </w:t>
      </w:r>
      <w:r w:rsidRPr="00D200EA">
        <w:rPr>
          <w:rFonts w:ascii="Times New Roman" w:hAnsi="Times New Roman" w:cs="Times New Roman"/>
          <w:sz w:val="24"/>
          <w:lang w:val="fr-FR"/>
        </w:rPr>
        <w:t>Applications of Advanced Technology in Transportation, pp</w:t>
      </w:r>
      <w:r w:rsidR="00D87DF7" w:rsidRPr="00D200EA">
        <w:rPr>
          <w:rFonts w:ascii="Times New Roman" w:hAnsi="Times New Roman" w:cs="Times New Roman"/>
          <w:sz w:val="24"/>
          <w:lang w:val="fr-FR"/>
        </w:rPr>
        <w:t>.</w:t>
      </w:r>
      <w:r w:rsidRPr="00D200EA">
        <w:rPr>
          <w:rFonts w:ascii="Times New Roman" w:hAnsi="Times New Roman" w:cs="Times New Roman"/>
          <w:sz w:val="24"/>
          <w:lang w:val="fr-FR"/>
        </w:rPr>
        <w:t xml:space="preserve"> 768-773.</w:t>
      </w:r>
    </w:p>
    <w:p w:rsidR="00D57E72" w:rsidRPr="00D57E72" w:rsidRDefault="00D57E72" w:rsidP="001057DB">
      <w:pPr>
        <w:spacing w:after="200"/>
        <w:rPr>
          <w:rFonts w:ascii="Times New Roman" w:hAnsi="Times New Roman" w:cs="Times New Roman"/>
          <w:sz w:val="24"/>
          <w:lang w:val="fr-FR"/>
        </w:rPr>
      </w:pPr>
      <w:r w:rsidRPr="00D57E72">
        <w:rPr>
          <w:rFonts w:ascii="Times New Roman" w:hAnsi="Times New Roman" w:cs="Times New Roman"/>
          <w:sz w:val="24"/>
          <w:lang w:val="fr-FR"/>
        </w:rPr>
        <w:t>International</w:t>
      </w:r>
      <w:r w:rsidRPr="00D57E72">
        <w:rPr>
          <w:rFonts w:ascii="Calibri" w:eastAsia="Calibri" w:hAnsi="Calibri" w:cs="Times New Roman"/>
          <w:lang w:val="fr-FR" w:eastAsia="nl-BE"/>
        </w:rPr>
        <w:t xml:space="preserve"> </w:t>
      </w:r>
      <w:r w:rsidRPr="00D57E72">
        <w:rPr>
          <w:rFonts w:ascii="Times New Roman" w:hAnsi="Times New Roman" w:cs="Times New Roman"/>
          <w:sz w:val="24"/>
          <w:lang w:val="fr-FR"/>
        </w:rPr>
        <w:t xml:space="preserve">Standardization Organization (2006) </w:t>
      </w:r>
      <w:r w:rsidRPr="00D57E72">
        <w:rPr>
          <w:rFonts w:ascii="Times New Roman" w:hAnsi="Times New Roman" w:cs="Times New Roman"/>
          <w:i/>
          <w:sz w:val="24"/>
          <w:lang w:val="fr-FR"/>
        </w:rPr>
        <w:t>ISO 14040: Management environnemental - Analyse du cycle de vie - Principes et cadre</w:t>
      </w:r>
      <w:r>
        <w:rPr>
          <w:rFonts w:ascii="Times New Roman" w:hAnsi="Times New Roman" w:cs="Times New Roman"/>
          <w:sz w:val="24"/>
          <w:lang w:val="fr-FR"/>
        </w:rPr>
        <w:t>. ISO.</w:t>
      </w:r>
    </w:p>
    <w:p w:rsidR="00D57E72" w:rsidRPr="00D200EA" w:rsidRDefault="00D57E72" w:rsidP="001057DB">
      <w:pPr>
        <w:spacing w:after="200"/>
        <w:rPr>
          <w:rFonts w:ascii="Times New Roman" w:hAnsi="Times New Roman" w:cs="Times New Roman"/>
          <w:sz w:val="24"/>
        </w:rPr>
      </w:pPr>
      <w:r w:rsidRPr="00D57E72">
        <w:rPr>
          <w:rFonts w:ascii="Times New Roman" w:hAnsi="Times New Roman" w:cs="Times New Roman"/>
          <w:sz w:val="24"/>
          <w:lang w:val="fr-FR"/>
        </w:rPr>
        <w:t>International</w:t>
      </w:r>
      <w:r>
        <w:rPr>
          <w:rFonts w:ascii="Times New Roman" w:hAnsi="Times New Roman" w:cs="Times New Roman"/>
          <w:sz w:val="24"/>
          <w:lang w:val="fr-FR"/>
        </w:rPr>
        <w:t xml:space="preserve"> </w:t>
      </w:r>
      <w:r w:rsidRPr="00D57E72">
        <w:rPr>
          <w:rFonts w:ascii="Times New Roman" w:hAnsi="Times New Roman" w:cs="Times New Roman"/>
          <w:sz w:val="24"/>
          <w:lang w:val="nl-BE"/>
        </w:rPr>
        <w:t xml:space="preserve">Standardization Organization (2006) </w:t>
      </w:r>
      <w:r w:rsidRPr="00D57E72">
        <w:rPr>
          <w:rFonts w:ascii="Times New Roman" w:hAnsi="Times New Roman" w:cs="Times New Roman"/>
          <w:i/>
          <w:sz w:val="24"/>
          <w:lang w:val="nl-BE"/>
        </w:rPr>
        <w:t>ISO 14044: Management environnemental - Analyse du cycle de vie - Exigences et lignes directrices</w:t>
      </w:r>
      <w:r>
        <w:rPr>
          <w:rFonts w:ascii="Times New Roman" w:hAnsi="Times New Roman" w:cs="Times New Roman"/>
          <w:sz w:val="24"/>
          <w:lang w:val="nl-BE"/>
        </w:rPr>
        <w:t>. ISO.</w:t>
      </w:r>
    </w:p>
    <w:p w:rsidR="004D534D" w:rsidRDefault="004D534D" w:rsidP="001057DB">
      <w:pPr>
        <w:spacing w:after="200"/>
        <w:rPr>
          <w:rFonts w:ascii="Times New Roman" w:hAnsi="Times New Roman" w:cs="Times New Roman"/>
          <w:sz w:val="24"/>
        </w:rPr>
      </w:pPr>
      <w:r>
        <w:rPr>
          <w:rFonts w:ascii="Times New Roman" w:hAnsi="Times New Roman" w:cs="Times New Roman"/>
          <w:sz w:val="24"/>
        </w:rPr>
        <w:t>Koellner</w:t>
      </w:r>
      <w:r w:rsidR="005C70A0">
        <w:rPr>
          <w:rFonts w:ascii="Times New Roman" w:hAnsi="Times New Roman" w:cs="Times New Roman"/>
          <w:sz w:val="24"/>
        </w:rPr>
        <w:t>,</w:t>
      </w:r>
      <w:r>
        <w:rPr>
          <w:rFonts w:ascii="Times New Roman" w:hAnsi="Times New Roman" w:cs="Times New Roman"/>
          <w:sz w:val="24"/>
        </w:rPr>
        <w:t xml:space="preserve"> </w:t>
      </w:r>
      <w:r w:rsidRPr="004D534D">
        <w:rPr>
          <w:rFonts w:ascii="Times New Roman" w:hAnsi="Times New Roman" w:cs="Times New Roman"/>
          <w:bCs/>
          <w:sz w:val="24"/>
          <w:szCs w:val="24"/>
          <w:lang w:val="nl-BE"/>
        </w:rPr>
        <w:t xml:space="preserve">T., de Baan, L., Brandão, M., Milà i Canals, </w:t>
      </w:r>
      <w:r w:rsidR="005C70A0">
        <w:rPr>
          <w:rFonts w:ascii="Times New Roman" w:hAnsi="Times New Roman" w:cs="Times New Roman"/>
          <w:bCs/>
          <w:sz w:val="24"/>
          <w:szCs w:val="24"/>
          <w:lang w:val="nl-BE"/>
        </w:rPr>
        <w:t>L., Civit, B., Margni, M., Saad</w:t>
      </w:r>
      <w:r w:rsidRPr="004D534D">
        <w:rPr>
          <w:rFonts w:ascii="Times New Roman" w:hAnsi="Times New Roman" w:cs="Times New Roman"/>
          <w:bCs/>
          <w:sz w:val="24"/>
          <w:szCs w:val="24"/>
          <w:lang w:val="nl-BE"/>
        </w:rPr>
        <w:t xml:space="preserve">, R., Maia de Souza, D., Beck, T., Müller-Wenk, R. (2013) </w:t>
      </w:r>
      <w:r w:rsidRPr="005C70A0">
        <w:rPr>
          <w:rFonts w:ascii="Times New Roman" w:hAnsi="Times New Roman" w:cs="Times New Roman"/>
          <w:bCs/>
          <w:i/>
          <w:sz w:val="24"/>
          <w:szCs w:val="24"/>
          <w:lang w:val="nl-BE"/>
        </w:rPr>
        <w:t>UNEP-SETAC guideline on global land use impact assessment on biodiversity and ecosystem services in LCA</w:t>
      </w:r>
      <w:r w:rsidRPr="004D534D">
        <w:rPr>
          <w:rFonts w:ascii="Times New Roman" w:hAnsi="Times New Roman" w:cs="Times New Roman"/>
          <w:bCs/>
          <w:sz w:val="24"/>
          <w:szCs w:val="24"/>
          <w:lang w:val="nl-BE"/>
        </w:rPr>
        <w:t>. The International Journal of Life Cycle Assessment, Volume 18, Issue 6, pp</w:t>
      </w:r>
      <w:r w:rsidR="00D87DF7">
        <w:rPr>
          <w:rFonts w:ascii="Times New Roman" w:hAnsi="Times New Roman" w:cs="Times New Roman"/>
          <w:bCs/>
          <w:sz w:val="24"/>
          <w:szCs w:val="24"/>
          <w:lang w:val="nl-BE"/>
        </w:rPr>
        <w:t>.</w:t>
      </w:r>
      <w:r w:rsidRPr="004D534D">
        <w:rPr>
          <w:rFonts w:ascii="Times New Roman" w:hAnsi="Times New Roman" w:cs="Times New Roman"/>
          <w:bCs/>
          <w:sz w:val="24"/>
          <w:szCs w:val="24"/>
          <w:lang w:val="nl-BE"/>
        </w:rPr>
        <w:t xml:space="preserve"> 1188-120</w:t>
      </w:r>
      <w:r w:rsidR="005C70A0">
        <w:rPr>
          <w:rFonts w:ascii="Times New Roman" w:hAnsi="Times New Roman" w:cs="Times New Roman"/>
          <w:bCs/>
          <w:sz w:val="24"/>
          <w:szCs w:val="24"/>
          <w:lang w:val="nl-BE"/>
        </w:rPr>
        <w:t>2.</w:t>
      </w:r>
    </w:p>
    <w:p w:rsidR="00471BEC" w:rsidRDefault="00471BEC" w:rsidP="001057DB">
      <w:pPr>
        <w:spacing w:after="200"/>
        <w:rPr>
          <w:rFonts w:ascii="Times New Roman" w:hAnsi="Times New Roman" w:cs="Times New Roman"/>
          <w:sz w:val="24"/>
        </w:rPr>
      </w:pPr>
      <w:r>
        <w:rPr>
          <w:rFonts w:ascii="Times New Roman" w:hAnsi="Times New Roman" w:cs="Times New Roman"/>
          <w:sz w:val="24"/>
        </w:rPr>
        <w:t xml:space="preserve">Lammgård, C. (2012) </w:t>
      </w:r>
      <w:r w:rsidRPr="003F0274">
        <w:rPr>
          <w:rFonts w:ascii="Times New Roman" w:hAnsi="Times New Roman" w:cs="Times New Roman"/>
          <w:i/>
          <w:sz w:val="24"/>
        </w:rPr>
        <w:t>Intermodal train services: A business challenge and a measure for decarbonisation for logistic service providers</w:t>
      </w:r>
      <w:r w:rsidRPr="003F0274">
        <w:rPr>
          <w:rFonts w:ascii="Times New Roman" w:hAnsi="Times New Roman" w:cs="Times New Roman"/>
          <w:sz w:val="24"/>
        </w:rPr>
        <w:t>.</w:t>
      </w:r>
      <w:r>
        <w:rPr>
          <w:rFonts w:ascii="Times New Roman" w:hAnsi="Times New Roman" w:cs="Times New Roman"/>
          <w:sz w:val="24"/>
        </w:rPr>
        <w:t xml:space="preserve"> </w:t>
      </w:r>
      <w:r w:rsidR="003F0274">
        <w:rPr>
          <w:rFonts w:ascii="Times New Roman" w:hAnsi="Times New Roman" w:cs="Times New Roman"/>
          <w:sz w:val="24"/>
        </w:rPr>
        <w:t>Research in Transportation Business &amp; Management, Volume 5, pp</w:t>
      </w:r>
      <w:r w:rsidR="00D87DF7">
        <w:rPr>
          <w:rFonts w:ascii="Times New Roman" w:hAnsi="Times New Roman" w:cs="Times New Roman"/>
          <w:sz w:val="24"/>
        </w:rPr>
        <w:t>.</w:t>
      </w:r>
      <w:r w:rsidR="003F0274">
        <w:rPr>
          <w:rFonts w:ascii="Times New Roman" w:hAnsi="Times New Roman" w:cs="Times New Roman"/>
          <w:sz w:val="24"/>
        </w:rPr>
        <w:t xml:space="preserve"> 48-56.</w:t>
      </w:r>
    </w:p>
    <w:p w:rsidR="001E002D" w:rsidRDefault="001E002D" w:rsidP="001057DB">
      <w:pPr>
        <w:spacing w:after="200"/>
        <w:rPr>
          <w:rFonts w:ascii="Times New Roman" w:hAnsi="Times New Roman" w:cs="Times New Roman"/>
          <w:sz w:val="24"/>
        </w:rPr>
      </w:pPr>
      <w:r>
        <w:rPr>
          <w:rFonts w:ascii="Times New Roman" w:hAnsi="Times New Roman" w:cs="Times New Roman"/>
          <w:sz w:val="24"/>
        </w:rPr>
        <w:t xml:space="preserve">Mckinnon, A., Browne, M., Whiteing, A., Piecyk, M. (2015) </w:t>
      </w:r>
      <w:r w:rsidRPr="001E002D">
        <w:rPr>
          <w:rFonts w:ascii="Times New Roman" w:hAnsi="Times New Roman" w:cs="Times New Roman"/>
          <w:i/>
          <w:sz w:val="24"/>
        </w:rPr>
        <w:t>Green logistics: improving the environmental sustainability of logistics</w:t>
      </w:r>
      <w:r>
        <w:rPr>
          <w:rFonts w:ascii="Times New Roman" w:hAnsi="Times New Roman" w:cs="Times New Roman"/>
          <w:sz w:val="24"/>
        </w:rPr>
        <w:t>. The Chartered Institute of Logistics and Transport. Kogan Page.</w:t>
      </w:r>
    </w:p>
    <w:p w:rsidR="006730B6" w:rsidRPr="006730B6" w:rsidRDefault="00237617" w:rsidP="001057DB">
      <w:pPr>
        <w:spacing w:after="200"/>
        <w:rPr>
          <w:rFonts w:ascii="Times New Roman" w:hAnsi="Times New Roman" w:cs="Times New Roman"/>
          <w:sz w:val="24"/>
        </w:rPr>
      </w:pPr>
      <w:r>
        <w:rPr>
          <w:rFonts w:ascii="Times New Roman" w:hAnsi="Times New Roman" w:cs="Times New Roman"/>
          <w:sz w:val="24"/>
        </w:rPr>
        <w:t>Reis, V., Meier, J.</w:t>
      </w:r>
      <w:r w:rsidR="006730B6" w:rsidRPr="006730B6">
        <w:rPr>
          <w:rFonts w:ascii="Times New Roman" w:hAnsi="Times New Roman" w:cs="Times New Roman"/>
          <w:sz w:val="24"/>
        </w:rPr>
        <w:t xml:space="preserve">F., Pace, G., Palacin, R. (2013) </w:t>
      </w:r>
      <w:r w:rsidR="006730B6" w:rsidRPr="006115CD">
        <w:rPr>
          <w:rFonts w:ascii="Times New Roman" w:hAnsi="Times New Roman" w:cs="Times New Roman"/>
          <w:i/>
          <w:sz w:val="24"/>
        </w:rPr>
        <w:t>Rail and multi-modal transport</w:t>
      </w:r>
      <w:r w:rsidR="006730B6" w:rsidRPr="006730B6">
        <w:rPr>
          <w:rFonts w:ascii="Times New Roman" w:hAnsi="Times New Roman" w:cs="Times New Roman"/>
          <w:sz w:val="24"/>
        </w:rPr>
        <w:t>. Research in Transportation Economics, Volume 4</w:t>
      </w:r>
      <w:r w:rsidR="006115CD">
        <w:rPr>
          <w:rFonts w:ascii="Times New Roman" w:hAnsi="Times New Roman" w:cs="Times New Roman"/>
          <w:sz w:val="24"/>
        </w:rPr>
        <w:t>1</w:t>
      </w:r>
      <w:r w:rsidR="006730B6" w:rsidRPr="006730B6">
        <w:rPr>
          <w:rFonts w:ascii="Times New Roman" w:hAnsi="Times New Roman" w:cs="Times New Roman"/>
          <w:sz w:val="24"/>
        </w:rPr>
        <w:t xml:space="preserve">, pp. </w:t>
      </w:r>
      <w:r w:rsidR="006115CD">
        <w:rPr>
          <w:rFonts w:ascii="Times New Roman" w:hAnsi="Times New Roman" w:cs="Times New Roman"/>
          <w:sz w:val="24"/>
        </w:rPr>
        <w:t>17-30.</w:t>
      </w:r>
    </w:p>
    <w:p w:rsidR="009264DC" w:rsidRDefault="00384F49" w:rsidP="001057DB">
      <w:pPr>
        <w:spacing w:after="200"/>
        <w:rPr>
          <w:rFonts w:ascii="Times New Roman" w:hAnsi="Times New Roman" w:cs="Times New Roman"/>
          <w:sz w:val="24"/>
        </w:rPr>
      </w:pPr>
      <w:r>
        <w:rPr>
          <w:rFonts w:ascii="Times New Roman" w:hAnsi="Times New Roman" w:cs="Times New Roman"/>
          <w:sz w:val="24"/>
        </w:rPr>
        <w:t xml:space="preserve">RICARDO </w:t>
      </w:r>
      <w:r w:rsidR="009264DC">
        <w:rPr>
          <w:rFonts w:ascii="Times New Roman" w:hAnsi="Times New Roman" w:cs="Times New Roman"/>
          <w:sz w:val="24"/>
        </w:rPr>
        <w:t xml:space="preserve">AEA </w:t>
      </w:r>
      <w:r w:rsidR="009264DC" w:rsidRPr="009264DC">
        <w:rPr>
          <w:rFonts w:ascii="Times New Roman" w:hAnsi="Times New Roman" w:cs="Times New Roman"/>
          <w:sz w:val="24"/>
          <w:lang w:val="nl-BE"/>
        </w:rPr>
        <w:t xml:space="preserve">(2014) </w:t>
      </w:r>
      <w:r w:rsidR="009264DC" w:rsidRPr="00410BC1">
        <w:rPr>
          <w:rFonts w:ascii="Times New Roman" w:hAnsi="Times New Roman" w:cs="Times New Roman"/>
          <w:i/>
          <w:sz w:val="24"/>
          <w:lang w:val="nl-BE"/>
        </w:rPr>
        <w:t>Update of the Handbook on External Costs of Transport. Final Report</w:t>
      </w:r>
      <w:r w:rsidR="009264DC" w:rsidRPr="009264DC">
        <w:rPr>
          <w:rFonts w:ascii="Times New Roman" w:hAnsi="Times New Roman" w:cs="Times New Roman"/>
          <w:sz w:val="24"/>
          <w:lang w:val="nl-BE"/>
        </w:rPr>
        <w:t>. Report for the European Commission: DG Mobility and</w:t>
      </w:r>
      <w:r w:rsidR="009264DC">
        <w:rPr>
          <w:rFonts w:ascii="Times New Roman" w:hAnsi="Times New Roman" w:cs="Times New Roman"/>
          <w:sz w:val="24"/>
          <w:lang w:val="nl-BE"/>
        </w:rPr>
        <w:t xml:space="preserve"> and Transport.</w:t>
      </w:r>
    </w:p>
    <w:p w:rsidR="006C178F" w:rsidRDefault="008471C7" w:rsidP="001057DB">
      <w:pPr>
        <w:spacing w:after="200"/>
        <w:rPr>
          <w:rFonts w:ascii="Times New Roman" w:hAnsi="Times New Roman" w:cs="Times New Roman"/>
          <w:sz w:val="24"/>
        </w:rPr>
      </w:pPr>
      <w:r>
        <w:rPr>
          <w:rFonts w:ascii="Times New Roman" w:hAnsi="Times New Roman" w:cs="Times New Roman"/>
          <w:bCs/>
          <w:sz w:val="24"/>
          <w:szCs w:val="24"/>
        </w:rPr>
        <w:t>S</w:t>
      </w:r>
      <w:r w:rsidRPr="006C178F">
        <w:rPr>
          <w:rFonts w:ascii="Times New Roman" w:hAnsi="Times New Roman" w:cs="Times New Roman"/>
          <w:sz w:val="24"/>
        </w:rPr>
        <w:t>pielmann</w:t>
      </w:r>
      <w:r w:rsidR="00F05761">
        <w:rPr>
          <w:rFonts w:ascii="Times New Roman" w:hAnsi="Times New Roman" w:cs="Times New Roman"/>
          <w:sz w:val="24"/>
        </w:rPr>
        <w:t>, M., Scholz, R.W.</w:t>
      </w:r>
      <w:r w:rsidRPr="006C178F">
        <w:rPr>
          <w:rFonts w:ascii="Times New Roman" w:hAnsi="Times New Roman" w:cs="Times New Roman"/>
          <w:sz w:val="24"/>
        </w:rPr>
        <w:t xml:space="preserve"> (2005) </w:t>
      </w:r>
      <w:r w:rsidRPr="006C178F">
        <w:rPr>
          <w:rFonts w:ascii="Times New Roman" w:hAnsi="Times New Roman" w:cs="Times New Roman"/>
          <w:i/>
          <w:sz w:val="24"/>
        </w:rPr>
        <w:t>Life Cycle Inventories of Transport Services. Background data for freight transport</w:t>
      </w:r>
      <w:r w:rsidRPr="006C178F">
        <w:rPr>
          <w:rFonts w:ascii="Times New Roman" w:hAnsi="Times New Roman" w:cs="Times New Roman"/>
          <w:sz w:val="24"/>
        </w:rPr>
        <w:t>. The International Journal of Life Cycle Assessment, Volume 10, Issue 1, pp</w:t>
      </w:r>
      <w:r w:rsidR="00D87DF7">
        <w:rPr>
          <w:rFonts w:ascii="Times New Roman" w:hAnsi="Times New Roman" w:cs="Times New Roman"/>
          <w:sz w:val="24"/>
        </w:rPr>
        <w:t>.</w:t>
      </w:r>
      <w:r w:rsidRPr="006C178F">
        <w:rPr>
          <w:rFonts w:ascii="Times New Roman" w:hAnsi="Times New Roman" w:cs="Times New Roman"/>
          <w:sz w:val="24"/>
        </w:rPr>
        <w:t xml:space="preserve"> 85-9</w:t>
      </w:r>
      <w:r>
        <w:rPr>
          <w:rFonts w:ascii="Times New Roman" w:hAnsi="Times New Roman" w:cs="Times New Roman"/>
          <w:sz w:val="24"/>
        </w:rPr>
        <w:t>4.</w:t>
      </w:r>
    </w:p>
    <w:p w:rsidR="008471C7" w:rsidRDefault="008471C7" w:rsidP="001057DB">
      <w:pPr>
        <w:spacing w:after="200"/>
        <w:rPr>
          <w:rFonts w:ascii="Times New Roman" w:hAnsi="Times New Roman" w:cs="Times New Roman"/>
          <w:sz w:val="24"/>
        </w:rPr>
      </w:pPr>
      <w:r>
        <w:rPr>
          <w:rFonts w:ascii="Times New Roman" w:hAnsi="Times New Roman" w:cs="Times New Roman"/>
          <w:bCs/>
          <w:sz w:val="24"/>
          <w:szCs w:val="24"/>
        </w:rPr>
        <w:t>S</w:t>
      </w:r>
      <w:r w:rsidRPr="006C178F">
        <w:rPr>
          <w:rFonts w:ascii="Times New Roman" w:hAnsi="Times New Roman" w:cs="Times New Roman"/>
          <w:sz w:val="24"/>
        </w:rPr>
        <w:t xml:space="preserve">pielmann, M., Bauer, C., Dones, R., Tuchschmid, M. (2007) </w:t>
      </w:r>
      <w:r w:rsidRPr="006C178F">
        <w:rPr>
          <w:rFonts w:ascii="Times New Roman" w:hAnsi="Times New Roman" w:cs="Times New Roman"/>
          <w:i/>
          <w:sz w:val="24"/>
        </w:rPr>
        <w:t>Transport Services. Ecoinvent report No. 14</w:t>
      </w:r>
      <w:r w:rsidRPr="006C178F">
        <w:rPr>
          <w:rFonts w:ascii="Times New Roman" w:hAnsi="Times New Roman" w:cs="Times New Roman"/>
          <w:sz w:val="24"/>
        </w:rPr>
        <w:t>. Swiss Centre for Life Cycle Inventories, Dübendorf, 200</w:t>
      </w:r>
      <w:r>
        <w:rPr>
          <w:rFonts w:ascii="Times New Roman" w:hAnsi="Times New Roman" w:cs="Times New Roman"/>
          <w:sz w:val="24"/>
        </w:rPr>
        <w:t>7.</w:t>
      </w:r>
    </w:p>
    <w:p w:rsidR="00706B2C" w:rsidRDefault="00706B2C" w:rsidP="001057DB">
      <w:pPr>
        <w:spacing w:after="200"/>
        <w:rPr>
          <w:rFonts w:ascii="Times New Roman" w:hAnsi="Times New Roman" w:cs="Times New Roman"/>
          <w:sz w:val="24"/>
        </w:rPr>
      </w:pPr>
      <w:r>
        <w:rPr>
          <w:rFonts w:ascii="Times New Roman" w:hAnsi="Times New Roman" w:cs="Times New Roman"/>
          <w:sz w:val="24"/>
        </w:rPr>
        <w:t xml:space="preserve">Stripple, H., Uppenberg, S. (2010) Life </w:t>
      </w:r>
      <w:r w:rsidRPr="00706B2C">
        <w:rPr>
          <w:rFonts w:ascii="Times New Roman" w:hAnsi="Times New Roman" w:cs="Times New Roman"/>
          <w:i/>
          <w:sz w:val="24"/>
        </w:rPr>
        <w:t>cycle assessment of railways and rail transports – Application in environmental product declarations (EPDs) for the Bothnia Line</w:t>
      </w:r>
      <w:r w:rsidRPr="00706B2C">
        <w:rPr>
          <w:rFonts w:ascii="Times New Roman" w:hAnsi="Times New Roman" w:cs="Times New Roman"/>
          <w:sz w:val="24"/>
        </w:rPr>
        <w:t>. IVL Swedish Environmental Research</w:t>
      </w:r>
      <w:r>
        <w:rPr>
          <w:rFonts w:ascii="Times New Roman" w:hAnsi="Times New Roman" w:cs="Times New Roman"/>
          <w:sz w:val="24"/>
        </w:rPr>
        <w:t xml:space="preserve"> Institute.</w:t>
      </w:r>
    </w:p>
    <w:p w:rsidR="00410BC1" w:rsidRDefault="00410BC1" w:rsidP="001057DB">
      <w:pPr>
        <w:spacing w:after="200"/>
        <w:rPr>
          <w:rFonts w:ascii="Times New Roman" w:hAnsi="Times New Roman" w:cs="Times New Roman"/>
          <w:sz w:val="24"/>
          <w:lang w:val="nl-BE"/>
        </w:rPr>
      </w:pPr>
      <w:r>
        <w:rPr>
          <w:rFonts w:ascii="Times New Roman" w:hAnsi="Times New Roman" w:cs="Times New Roman"/>
          <w:sz w:val="24"/>
        </w:rPr>
        <w:t xml:space="preserve">The </w:t>
      </w:r>
      <w:r w:rsidRPr="00410BC1">
        <w:rPr>
          <w:rFonts w:ascii="Times New Roman" w:hAnsi="Times New Roman" w:cs="Times New Roman"/>
          <w:sz w:val="24"/>
          <w:lang w:val="nl-BE"/>
        </w:rPr>
        <w:t xml:space="preserve">International EPD® System (2014) </w:t>
      </w:r>
      <w:r w:rsidRPr="00410BC1">
        <w:rPr>
          <w:rFonts w:ascii="Times New Roman" w:hAnsi="Times New Roman" w:cs="Times New Roman"/>
          <w:i/>
          <w:sz w:val="24"/>
          <w:lang w:val="nl-BE"/>
        </w:rPr>
        <w:t>Product Category Rules (PCR) 2013:19 Version 1.03 for railways UN CPC 53212</w:t>
      </w:r>
      <w:r w:rsidRPr="00410BC1">
        <w:rPr>
          <w:rFonts w:ascii="Times New Roman" w:hAnsi="Times New Roman" w:cs="Times New Roman"/>
          <w:sz w:val="24"/>
          <w:lang w:val="nl-BE"/>
        </w:rPr>
        <w:t>. Valid until 2016-12</w:t>
      </w:r>
      <w:r>
        <w:rPr>
          <w:rFonts w:ascii="Times New Roman" w:hAnsi="Times New Roman" w:cs="Times New Roman"/>
          <w:sz w:val="24"/>
          <w:lang w:val="nl-BE"/>
        </w:rPr>
        <w:t>-13.</w:t>
      </w:r>
    </w:p>
    <w:p w:rsidR="00706B2C" w:rsidRDefault="00706B2C" w:rsidP="001057DB">
      <w:pPr>
        <w:spacing w:after="200"/>
        <w:rPr>
          <w:rFonts w:ascii="Times New Roman" w:hAnsi="Times New Roman" w:cs="Times New Roman"/>
          <w:sz w:val="24"/>
        </w:rPr>
      </w:pPr>
      <w:r>
        <w:rPr>
          <w:rFonts w:ascii="Times New Roman" w:hAnsi="Times New Roman" w:cs="Times New Roman"/>
          <w:sz w:val="24"/>
          <w:lang w:val="nl-BE"/>
        </w:rPr>
        <w:lastRenderedPageBreak/>
        <w:t xml:space="preserve">The </w:t>
      </w:r>
      <w:r w:rsidRPr="00706B2C">
        <w:rPr>
          <w:rFonts w:ascii="Times New Roman" w:hAnsi="Times New Roman" w:cs="Times New Roman"/>
          <w:sz w:val="24"/>
        </w:rPr>
        <w:t xml:space="preserve">SMARTrail Consortium (2014) SMARTrail – </w:t>
      </w:r>
      <w:r w:rsidRPr="00706B2C">
        <w:rPr>
          <w:rFonts w:ascii="Times New Roman" w:hAnsi="Times New Roman" w:cs="Times New Roman"/>
          <w:i/>
          <w:sz w:val="24"/>
        </w:rPr>
        <w:t>Deliverable 4.3 Report on LCA and WLC models for aging rail networks</w:t>
      </w:r>
      <w:r w:rsidRPr="00706B2C">
        <w:rPr>
          <w:rFonts w:ascii="Times New Roman" w:hAnsi="Times New Roman" w:cs="Times New Roman"/>
          <w:sz w:val="24"/>
        </w:rPr>
        <w:t>. EU 7</w:t>
      </w:r>
      <w:r w:rsidRPr="00706B2C">
        <w:rPr>
          <w:rFonts w:ascii="Times New Roman" w:hAnsi="Times New Roman" w:cs="Times New Roman"/>
          <w:sz w:val="24"/>
          <w:vertAlign w:val="superscript"/>
        </w:rPr>
        <w:t>th</w:t>
      </w:r>
      <w:r w:rsidRPr="00706B2C">
        <w:rPr>
          <w:rFonts w:ascii="Times New Roman" w:hAnsi="Times New Roman" w:cs="Times New Roman"/>
          <w:sz w:val="24"/>
        </w:rPr>
        <w:t xml:space="preserve"> Framework Programme under call SST.2011.5.2-6 cost-effective improvement of rail transport, infrastructure. Grant agreement no: 28</w:t>
      </w:r>
      <w:r>
        <w:rPr>
          <w:rFonts w:ascii="Times New Roman" w:hAnsi="Times New Roman" w:cs="Times New Roman"/>
          <w:sz w:val="24"/>
        </w:rPr>
        <w:t>5683.</w:t>
      </w:r>
    </w:p>
    <w:p w:rsidR="00410BC1" w:rsidRPr="00410BC1" w:rsidRDefault="00410BC1" w:rsidP="001057DB">
      <w:pPr>
        <w:spacing w:after="200"/>
        <w:rPr>
          <w:rFonts w:ascii="Times New Roman" w:hAnsi="Times New Roman" w:cs="Times New Roman"/>
          <w:sz w:val="24"/>
          <w:lang w:val="nl-BE"/>
        </w:rPr>
      </w:pPr>
      <w:r>
        <w:rPr>
          <w:rFonts w:ascii="Times New Roman" w:hAnsi="Times New Roman" w:cs="Times New Roman"/>
          <w:sz w:val="24"/>
        </w:rPr>
        <w:t xml:space="preserve">UNEP/SETAC </w:t>
      </w:r>
      <w:r w:rsidRPr="00410BC1">
        <w:rPr>
          <w:rFonts w:ascii="Times New Roman" w:hAnsi="Times New Roman" w:cs="Times New Roman"/>
          <w:sz w:val="24"/>
          <w:lang w:val="nl-BE"/>
        </w:rPr>
        <w:t xml:space="preserve">Life Cycle Initiative (2011) </w:t>
      </w:r>
      <w:r w:rsidRPr="00410BC1">
        <w:rPr>
          <w:rFonts w:ascii="Times New Roman" w:hAnsi="Times New Roman" w:cs="Times New Roman"/>
          <w:i/>
          <w:sz w:val="24"/>
          <w:lang w:val="nl-BE"/>
        </w:rPr>
        <w:t>Global Guidance Principles for Life Cycle assessment Databases. A basis for greener processes and products</w:t>
      </w:r>
      <w:r w:rsidRPr="00410BC1">
        <w:rPr>
          <w:rFonts w:ascii="Times New Roman" w:hAnsi="Times New Roman" w:cs="Times New Roman"/>
          <w:sz w:val="24"/>
          <w:lang w:val="nl-BE"/>
        </w:rPr>
        <w:t>. United Nations Environment</w:t>
      </w:r>
      <w:r>
        <w:rPr>
          <w:rFonts w:ascii="Times New Roman" w:hAnsi="Times New Roman" w:cs="Times New Roman"/>
          <w:sz w:val="24"/>
          <w:lang w:val="nl-BE"/>
        </w:rPr>
        <w:t xml:space="preserve"> Programme.</w:t>
      </w:r>
    </w:p>
    <w:p w:rsidR="003F0274" w:rsidRPr="004D534D" w:rsidRDefault="003F0274" w:rsidP="001057DB">
      <w:pPr>
        <w:spacing w:after="200"/>
        <w:rPr>
          <w:rFonts w:ascii="Times New Roman" w:hAnsi="Times New Roman" w:cs="Times New Roman"/>
          <w:sz w:val="24"/>
          <w:szCs w:val="24"/>
        </w:rPr>
      </w:pPr>
      <w:r w:rsidRPr="003F0274">
        <w:rPr>
          <w:rFonts w:ascii="Times New Roman" w:hAnsi="Times New Roman" w:cs="Times New Roman"/>
          <w:sz w:val="24"/>
          <w:szCs w:val="24"/>
        </w:rPr>
        <w:t xml:space="preserve">Van de Voorde, E., Vanelslander, T. (2014) </w:t>
      </w:r>
      <w:r w:rsidRPr="003F0274">
        <w:rPr>
          <w:rFonts w:ascii="Times New Roman" w:hAnsi="Times New Roman" w:cs="Times New Roman"/>
          <w:i/>
          <w:sz w:val="24"/>
          <w:szCs w:val="24"/>
        </w:rPr>
        <w:t>Development of rail freight in Europe: What regulation can and cannot do. Belgium case study</w:t>
      </w:r>
      <w:r>
        <w:rPr>
          <w:rFonts w:ascii="Times New Roman" w:hAnsi="Times New Roman" w:cs="Times New Roman"/>
          <w:sz w:val="24"/>
          <w:szCs w:val="24"/>
        </w:rPr>
        <w:t xml:space="preserve">. </w:t>
      </w:r>
      <w:r w:rsidRPr="008471C7">
        <w:rPr>
          <w:rFonts w:ascii="Times New Roman" w:hAnsi="Times New Roman" w:cs="Times New Roman"/>
          <w:sz w:val="24"/>
          <w:szCs w:val="24"/>
        </w:rPr>
        <w:t>Centre on Regulation in Europe (CERRE</w:t>
      </w:r>
      <w:r>
        <w:rPr>
          <w:rFonts w:ascii="Times New Roman" w:hAnsi="Times New Roman" w:cs="Times New Roman"/>
          <w:sz w:val="24"/>
          <w:szCs w:val="24"/>
        </w:rPr>
        <w:t>).</w:t>
      </w:r>
    </w:p>
    <w:p w:rsidR="008471C7" w:rsidRPr="003F014F" w:rsidRDefault="009264DC" w:rsidP="003F014F">
      <w:pPr>
        <w:spacing w:after="200"/>
        <w:rPr>
          <w:rFonts w:ascii="Times New Roman" w:hAnsi="Times New Roman" w:cs="Times New Roman"/>
          <w:sz w:val="24"/>
          <w:szCs w:val="24"/>
          <w:lang w:val="nl-BE"/>
        </w:rPr>
      </w:pPr>
      <w:r>
        <w:rPr>
          <w:rFonts w:ascii="Times New Roman" w:hAnsi="Times New Roman" w:cs="Times New Roman"/>
          <w:sz w:val="24"/>
          <w:szCs w:val="24"/>
        </w:rPr>
        <w:t xml:space="preserve">Weidema </w:t>
      </w:r>
      <w:r w:rsidR="00237617">
        <w:rPr>
          <w:rFonts w:ascii="Times New Roman" w:hAnsi="Times New Roman" w:cs="Times New Roman"/>
          <w:sz w:val="24"/>
          <w:szCs w:val="24"/>
          <w:lang w:val="nl-BE"/>
        </w:rPr>
        <w:t>B.</w:t>
      </w:r>
      <w:r w:rsidRPr="009264DC">
        <w:rPr>
          <w:rFonts w:ascii="Times New Roman" w:hAnsi="Times New Roman" w:cs="Times New Roman"/>
          <w:sz w:val="24"/>
          <w:szCs w:val="24"/>
          <w:lang w:val="nl-BE"/>
        </w:rPr>
        <w:t>P., Bauer, C., Hischier, R., Mutel, C., Nemecek, T., Reinhard, J., Va</w:t>
      </w:r>
      <w:r w:rsidR="00237617">
        <w:rPr>
          <w:rFonts w:ascii="Times New Roman" w:hAnsi="Times New Roman" w:cs="Times New Roman"/>
          <w:sz w:val="24"/>
          <w:szCs w:val="24"/>
          <w:lang w:val="nl-BE"/>
        </w:rPr>
        <w:t>denbo, C.</w:t>
      </w:r>
      <w:r>
        <w:rPr>
          <w:rFonts w:ascii="Times New Roman" w:hAnsi="Times New Roman" w:cs="Times New Roman"/>
          <w:sz w:val="24"/>
          <w:szCs w:val="24"/>
          <w:lang w:val="nl-BE"/>
        </w:rPr>
        <w:t>O., Wernet, G. (2013)</w:t>
      </w:r>
      <w:r w:rsidRPr="009264DC">
        <w:rPr>
          <w:rFonts w:ascii="Times New Roman" w:hAnsi="Times New Roman" w:cs="Times New Roman"/>
          <w:sz w:val="24"/>
          <w:szCs w:val="24"/>
          <w:lang w:val="nl-BE"/>
        </w:rPr>
        <w:t xml:space="preserve"> </w:t>
      </w:r>
      <w:r w:rsidRPr="009264DC">
        <w:rPr>
          <w:rFonts w:ascii="Times New Roman" w:hAnsi="Times New Roman" w:cs="Times New Roman"/>
          <w:i/>
          <w:sz w:val="24"/>
          <w:szCs w:val="24"/>
          <w:lang w:val="nl-BE"/>
        </w:rPr>
        <w:t>Overview and methodology. Data quality guideline for the ecoinvent database version 3. Ecoinvent Report 1(v3)</w:t>
      </w:r>
      <w:r w:rsidRPr="009264DC">
        <w:rPr>
          <w:rFonts w:ascii="Times New Roman" w:hAnsi="Times New Roman" w:cs="Times New Roman"/>
          <w:sz w:val="24"/>
          <w:szCs w:val="24"/>
          <w:lang w:val="nl-BE"/>
        </w:rPr>
        <w:t>. St. Gallen: The ecoinvent</w:t>
      </w:r>
      <w:r>
        <w:rPr>
          <w:rFonts w:ascii="Times New Roman" w:hAnsi="Times New Roman" w:cs="Times New Roman"/>
          <w:sz w:val="24"/>
          <w:szCs w:val="24"/>
          <w:lang w:val="nl-BE"/>
        </w:rPr>
        <w:t xml:space="preserve"> Centre.</w:t>
      </w:r>
    </w:p>
    <w:sectPr w:rsidR="008471C7" w:rsidRPr="003F014F" w:rsidSect="00F57EE9">
      <w:footerReference w:type="default" r:id="rId12"/>
      <w:pgSz w:w="11907" w:h="16840" w:code="9"/>
      <w:pgMar w:top="2041" w:right="1418" w:bottom="2041" w:left="1418" w:header="720" w:footer="72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4AD" w:rsidRDefault="00B614AD">
      <w:r>
        <w:separator/>
      </w:r>
    </w:p>
  </w:endnote>
  <w:endnote w:type="continuationSeparator" w:id="0">
    <w:p w:rsidR="00B614AD" w:rsidRDefault="00B6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09D" w:rsidRPr="00113628" w:rsidRDefault="00630ABE" w:rsidP="00113628">
    <w:pPr>
      <w:pStyle w:val="Footer"/>
      <w:rPr>
        <w:sz w:val="20"/>
        <w:szCs w:val="20"/>
      </w:rPr>
    </w:pPr>
    <w:r w:rsidRPr="00113628">
      <w:rPr>
        <w:sz w:val="20"/>
        <w:szCs w:val="20"/>
      </w:rPr>
      <w:t xml:space="preserve">Page </w:t>
    </w:r>
    <w:r w:rsidR="00D01F9C" w:rsidRPr="00113628">
      <w:rPr>
        <w:rStyle w:val="PageNumber"/>
        <w:sz w:val="20"/>
        <w:szCs w:val="20"/>
      </w:rPr>
      <w:fldChar w:fldCharType="begin"/>
    </w:r>
    <w:r w:rsidRPr="00113628">
      <w:rPr>
        <w:rStyle w:val="PageNumber"/>
        <w:sz w:val="20"/>
        <w:szCs w:val="20"/>
      </w:rPr>
      <w:instrText xml:space="preserve">PAGE  </w:instrText>
    </w:r>
    <w:r w:rsidR="00D01F9C" w:rsidRPr="00113628">
      <w:rPr>
        <w:rStyle w:val="PageNumber"/>
        <w:sz w:val="20"/>
        <w:szCs w:val="20"/>
      </w:rPr>
      <w:fldChar w:fldCharType="separate"/>
    </w:r>
    <w:r w:rsidR="00A16E93">
      <w:rPr>
        <w:rStyle w:val="PageNumber"/>
        <w:noProof/>
        <w:sz w:val="20"/>
        <w:szCs w:val="20"/>
      </w:rPr>
      <w:t>4</w:t>
    </w:r>
    <w:r w:rsidR="00D01F9C" w:rsidRPr="00113628">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4AD" w:rsidRDefault="00B614AD">
      <w:r>
        <w:separator/>
      </w:r>
    </w:p>
  </w:footnote>
  <w:footnote w:type="continuationSeparator" w:id="0">
    <w:p w:rsidR="00B614AD" w:rsidRDefault="00B61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17BF6"/>
    <w:multiLevelType w:val="hybridMultilevel"/>
    <w:tmpl w:val="40CEB39C"/>
    <w:lvl w:ilvl="0" w:tplc="A000903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392676"/>
    <w:multiLevelType w:val="hybridMultilevel"/>
    <w:tmpl w:val="63DED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F8209E"/>
    <w:multiLevelType w:val="hybridMultilevel"/>
    <w:tmpl w:val="958A78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DA130F"/>
    <w:multiLevelType w:val="hybridMultilevel"/>
    <w:tmpl w:val="2E6E8E38"/>
    <w:lvl w:ilvl="0" w:tplc="A000903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0C75F7"/>
    <w:multiLevelType w:val="hybridMultilevel"/>
    <w:tmpl w:val="6FF2355E"/>
    <w:lvl w:ilvl="0" w:tplc="A000903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7F25571"/>
    <w:multiLevelType w:val="hybridMultilevel"/>
    <w:tmpl w:val="4D286706"/>
    <w:lvl w:ilvl="0" w:tplc="40E605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7617246"/>
    <w:multiLevelType w:val="hybridMultilevel"/>
    <w:tmpl w:val="657A7074"/>
    <w:lvl w:ilvl="0" w:tplc="0F00B6C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9722CEC"/>
    <w:multiLevelType w:val="hybridMultilevel"/>
    <w:tmpl w:val="A24819DE"/>
    <w:lvl w:ilvl="0" w:tplc="6C9C2A4A">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A1D572F"/>
    <w:multiLevelType w:val="hybridMultilevel"/>
    <w:tmpl w:val="D61EDD86"/>
    <w:lvl w:ilvl="0" w:tplc="7130B448">
      <w:start w:val="1"/>
      <w:numFmt w:val="bullet"/>
      <w:pStyle w:val="NormalList"/>
      <w:lvlText w:val=""/>
      <w:lvlJc w:val="left"/>
      <w:pPr>
        <w:tabs>
          <w:tab w:val="num" w:pos="567"/>
        </w:tabs>
        <w:ind w:left="567" w:hanging="39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6A51EAF"/>
    <w:multiLevelType w:val="hybridMultilevel"/>
    <w:tmpl w:val="AC584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86B15EA"/>
    <w:multiLevelType w:val="hybridMultilevel"/>
    <w:tmpl w:val="629C5FA4"/>
    <w:lvl w:ilvl="0" w:tplc="E6ACF72E">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99C6466"/>
    <w:multiLevelType w:val="hybridMultilevel"/>
    <w:tmpl w:val="5F84CD18"/>
    <w:lvl w:ilvl="0" w:tplc="A62A25E6">
      <w:start w:val="1"/>
      <w:numFmt w:val="decimal"/>
      <w:pStyle w:val="ParagraphReferences"/>
      <w:lvlText w:val="[%1]"/>
      <w:lvlJc w:val="left"/>
      <w:pPr>
        <w:tabs>
          <w:tab w:val="num" w:pos="397"/>
        </w:tabs>
        <w:ind w:left="397" w:hanging="39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6D87232F"/>
    <w:multiLevelType w:val="hybridMultilevel"/>
    <w:tmpl w:val="1674BD34"/>
    <w:lvl w:ilvl="0" w:tplc="522AAE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A8A4703"/>
    <w:multiLevelType w:val="hybridMultilevel"/>
    <w:tmpl w:val="5E2ACBAC"/>
    <w:lvl w:ilvl="0" w:tplc="A000903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E9F60A5"/>
    <w:multiLevelType w:val="hybridMultilevel"/>
    <w:tmpl w:val="37B4768A"/>
    <w:lvl w:ilvl="0" w:tplc="A000903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5"/>
  </w:num>
  <w:num w:numId="5">
    <w:abstractNumId w:val="6"/>
  </w:num>
  <w:num w:numId="6">
    <w:abstractNumId w:val="7"/>
  </w:num>
  <w:num w:numId="7">
    <w:abstractNumId w:val="10"/>
  </w:num>
  <w:num w:numId="8">
    <w:abstractNumId w:val="1"/>
  </w:num>
  <w:num w:numId="9">
    <w:abstractNumId w:val="9"/>
  </w:num>
  <w:num w:numId="10">
    <w:abstractNumId w:val="2"/>
  </w:num>
  <w:num w:numId="11">
    <w:abstractNumId w:val="3"/>
  </w:num>
  <w:num w:numId="12">
    <w:abstractNumId w:val="4"/>
  </w:num>
  <w:num w:numId="13">
    <w:abstractNumId w:val="13"/>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30ABE"/>
    <w:rsid w:val="00023C6C"/>
    <w:rsid w:val="000245C1"/>
    <w:rsid w:val="00026502"/>
    <w:rsid w:val="00027EEE"/>
    <w:rsid w:val="00030A8C"/>
    <w:rsid w:val="000403C4"/>
    <w:rsid w:val="00044D28"/>
    <w:rsid w:val="0004649D"/>
    <w:rsid w:val="00047A50"/>
    <w:rsid w:val="00052802"/>
    <w:rsid w:val="00054FAB"/>
    <w:rsid w:val="0005659A"/>
    <w:rsid w:val="00056684"/>
    <w:rsid w:val="00057636"/>
    <w:rsid w:val="000614CD"/>
    <w:rsid w:val="00062B8C"/>
    <w:rsid w:val="00071B8B"/>
    <w:rsid w:val="00072F23"/>
    <w:rsid w:val="000845A9"/>
    <w:rsid w:val="00093423"/>
    <w:rsid w:val="000A49DF"/>
    <w:rsid w:val="000B3F7B"/>
    <w:rsid w:val="000E758C"/>
    <w:rsid w:val="00102877"/>
    <w:rsid w:val="001057DB"/>
    <w:rsid w:val="00110B77"/>
    <w:rsid w:val="0011746A"/>
    <w:rsid w:val="0012312B"/>
    <w:rsid w:val="0013410E"/>
    <w:rsid w:val="001355FC"/>
    <w:rsid w:val="0013588F"/>
    <w:rsid w:val="00140034"/>
    <w:rsid w:val="00143023"/>
    <w:rsid w:val="00144D8A"/>
    <w:rsid w:val="001454AB"/>
    <w:rsid w:val="00160604"/>
    <w:rsid w:val="00162A76"/>
    <w:rsid w:val="00172142"/>
    <w:rsid w:val="001731F6"/>
    <w:rsid w:val="00177802"/>
    <w:rsid w:val="00187477"/>
    <w:rsid w:val="00190543"/>
    <w:rsid w:val="00190D67"/>
    <w:rsid w:val="0019205E"/>
    <w:rsid w:val="0019673A"/>
    <w:rsid w:val="00197032"/>
    <w:rsid w:val="001A7F68"/>
    <w:rsid w:val="001B091B"/>
    <w:rsid w:val="001B6B55"/>
    <w:rsid w:val="001C45BA"/>
    <w:rsid w:val="001C7A12"/>
    <w:rsid w:val="001D381D"/>
    <w:rsid w:val="001E002D"/>
    <w:rsid w:val="001E248E"/>
    <w:rsid w:val="001F2F62"/>
    <w:rsid w:val="001F3A5B"/>
    <w:rsid w:val="001F795D"/>
    <w:rsid w:val="00202EC7"/>
    <w:rsid w:val="00207FD7"/>
    <w:rsid w:val="002158FC"/>
    <w:rsid w:val="002173FA"/>
    <w:rsid w:val="00222626"/>
    <w:rsid w:val="0023153F"/>
    <w:rsid w:val="00232F00"/>
    <w:rsid w:val="00237617"/>
    <w:rsid w:val="00240C6E"/>
    <w:rsid w:val="00251D8C"/>
    <w:rsid w:val="00261307"/>
    <w:rsid w:val="00261DA1"/>
    <w:rsid w:val="00261DC3"/>
    <w:rsid w:val="00266D05"/>
    <w:rsid w:val="00286620"/>
    <w:rsid w:val="00293DB1"/>
    <w:rsid w:val="0029528A"/>
    <w:rsid w:val="00295FB0"/>
    <w:rsid w:val="002A25C3"/>
    <w:rsid w:val="002A2D1B"/>
    <w:rsid w:val="002A2F8A"/>
    <w:rsid w:val="002A77B8"/>
    <w:rsid w:val="002B0B7E"/>
    <w:rsid w:val="002C2B49"/>
    <w:rsid w:val="002C33B1"/>
    <w:rsid w:val="002C359B"/>
    <w:rsid w:val="002D30EF"/>
    <w:rsid w:val="002D555C"/>
    <w:rsid w:val="002E5B94"/>
    <w:rsid w:val="002E602A"/>
    <w:rsid w:val="002F4248"/>
    <w:rsid w:val="002F6732"/>
    <w:rsid w:val="00302061"/>
    <w:rsid w:val="00302B4C"/>
    <w:rsid w:val="00303033"/>
    <w:rsid w:val="003169AB"/>
    <w:rsid w:val="00317987"/>
    <w:rsid w:val="00322909"/>
    <w:rsid w:val="00327B83"/>
    <w:rsid w:val="00331752"/>
    <w:rsid w:val="00335235"/>
    <w:rsid w:val="003423CE"/>
    <w:rsid w:val="0034312E"/>
    <w:rsid w:val="00343C5A"/>
    <w:rsid w:val="0036113F"/>
    <w:rsid w:val="00363DAF"/>
    <w:rsid w:val="003652D9"/>
    <w:rsid w:val="00366CFA"/>
    <w:rsid w:val="00374152"/>
    <w:rsid w:val="003805AC"/>
    <w:rsid w:val="00384F49"/>
    <w:rsid w:val="00386949"/>
    <w:rsid w:val="00387718"/>
    <w:rsid w:val="00387C2F"/>
    <w:rsid w:val="003976F4"/>
    <w:rsid w:val="00397A89"/>
    <w:rsid w:val="003A0970"/>
    <w:rsid w:val="003A1744"/>
    <w:rsid w:val="003B6FFE"/>
    <w:rsid w:val="003C5D9B"/>
    <w:rsid w:val="003D448C"/>
    <w:rsid w:val="003D6192"/>
    <w:rsid w:val="003D640D"/>
    <w:rsid w:val="003D6B62"/>
    <w:rsid w:val="003E343C"/>
    <w:rsid w:val="003E3862"/>
    <w:rsid w:val="003E5EA3"/>
    <w:rsid w:val="003E6D76"/>
    <w:rsid w:val="003F014F"/>
    <w:rsid w:val="003F0274"/>
    <w:rsid w:val="003F5D86"/>
    <w:rsid w:val="003F72D1"/>
    <w:rsid w:val="00403A97"/>
    <w:rsid w:val="004058B9"/>
    <w:rsid w:val="00405F2C"/>
    <w:rsid w:val="00406823"/>
    <w:rsid w:val="00410BC1"/>
    <w:rsid w:val="00416A15"/>
    <w:rsid w:val="004212D3"/>
    <w:rsid w:val="0042212D"/>
    <w:rsid w:val="0042652C"/>
    <w:rsid w:val="004335DB"/>
    <w:rsid w:val="0044093D"/>
    <w:rsid w:val="00462D32"/>
    <w:rsid w:val="0046314F"/>
    <w:rsid w:val="00471BEC"/>
    <w:rsid w:val="00475410"/>
    <w:rsid w:val="00480F7A"/>
    <w:rsid w:val="0048366C"/>
    <w:rsid w:val="00486FA4"/>
    <w:rsid w:val="004929B8"/>
    <w:rsid w:val="004A1073"/>
    <w:rsid w:val="004B0949"/>
    <w:rsid w:val="004C63B6"/>
    <w:rsid w:val="004D534D"/>
    <w:rsid w:val="004D702E"/>
    <w:rsid w:val="004E50B3"/>
    <w:rsid w:val="004F0720"/>
    <w:rsid w:val="004F3966"/>
    <w:rsid w:val="00502A09"/>
    <w:rsid w:val="005102C8"/>
    <w:rsid w:val="00511349"/>
    <w:rsid w:val="00511E20"/>
    <w:rsid w:val="005176B4"/>
    <w:rsid w:val="00526240"/>
    <w:rsid w:val="00540C84"/>
    <w:rsid w:val="005422DD"/>
    <w:rsid w:val="00556C4A"/>
    <w:rsid w:val="005571BE"/>
    <w:rsid w:val="00560721"/>
    <w:rsid w:val="00567F01"/>
    <w:rsid w:val="005732E7"/>
    <w:rsid w:val="005756F7"/>
    <w:rsid w:val="005757A4"/>
    <w:rsid w:val="00585D68"/>
    <w:rsid w:val="00586870"/>
    <w:rsid w:val="005917D5"/>
    <w:rsid w:val="0059234D"/>
    <w:rsid w:val="0059366E"/>
    <w:rsid w:val="00594F8C"/>
    <w:rsid w:val="00597342"/>
    <w:rsid w:val="005A672E"/>
    <w:rsid w:val="005C45B4"/>
    <w:rsid w:val="005C5C35"/>
    <w:rsid w:val="005C611D"/>
    <w:rsid w:val="005C6844"/>
    <w:rsid w:val="005C70A0"/>
    <w:rsid w:val="005D181E"/>
    <w:rsid w:val="005E4A8E"/>
    <w:rsid w:val="006020C3"/>
    <w:rsid w:val="0060402C"/>
    <w:rsid w:val="00605DB5"/>
    <w:rsid w:val="00610F61"/>
    <w:rsid w:val="006115CD"/>
    <w:rsid w:val="00614A01"/>
    <w:rsid w:val="00630ABE"/>
    <w:rsid w:val="006314AB"/>
    <w:rsid w:val="00631EEA"/>
    <w:rsid w:val="006368BF"/>
    <w:rsid w:val="00642C30"/>
    <w:rsid w:val="006455CE"/>
    <w:rsid w:val="00651945"/>
    <w:rsid w:val="00655D7E"/>
    <w:rsid w:val="00660B58"/>
    <w:rsid w:val="006730B6"/>
    <w:rsid w:val="0068041C"/>
    <w:rsid w:val="0068117F"/>
    <w:rsid w:val="006876FB"/>
    <w:rsid w:val="00687882"/>
    <w:rsid w:val="00691555"/>
    <w:rsid w:val="0069662F"/>
    <w:rsid w:val="00697AF9"/>
    <w:rsid w:val="006A3310"/>
    <w:rsid w:val="006A49AD"/>
    <w:rsid w:val="006C178F"/>
    <w:rsid w:val="006C3F07"/>
    <w:rsid w:val="006D067B"/>
    <w:rsid w:val="006D0F5A"/>
    <w:rsid w:val="006D5855"/>
    <w:rsid w:val="006D63E2"/>
    <w:rsid w:val="006F2C2D"/>
    <w:rsid w:val="006F42F7"/>
    <w:rsid w:val="006F7FB7"/>
    <w:rsid w:val="00700D13"/>
    <w:rsid w:val="00702F0F"/>
    <w:rsid w:val="00706B2C"/>
    <w:rsid w:val="007157AC"/>
    <w:rsid w:val="00716ED5"/>
    <w:rsid w:val="0072109E"/>
    <w:rsid w:val="00725F54"/>
    <w:rsid w:val="0073385A"/>
    <w:rsid w:val="0074236E"/>
    <w:rsid w:val="00753B10"/>
    <w:rsid w:val="007552BA"/>
    <w:rsid w:val="007560B5"/>
    <w:rsid w:val="0077284B"/>
    <w:rsid w:val="00776E1A"/>
    <w:rsid w:val="00785E8A"/>
    <w:rsid w:val="00790A6C"/>
    <w:rsid w:val="00790FCC"/>
    <w:rsid w:val="00793536"/>
    <w:rsid w:val="007936DC"/>
    <w:rsid w:val="007967F7"/>
    <w:rsid w:val="00797894"/>
    <w:rsid w:val="007B12B2"/>
    <w:rsid w:val="007B4BAF"/>
    <w:rsid w:val="007D2962"/>
    <w:rsid w:val="007F25BE"/>
    <w:rsid w:val="007F47C4"/>
    <w:rsid w:val="008111A7"/>
    <w:rsid w:val="0081141A"/>
    <w:rsid w:val="00813F1B"/>
    <w:rsid w:val="00824034"/>
    <w:rsid w:val="00824EBA"/>
    <w:rsid w:val="008265A7"/>
    <w:rsid w:val="0083160E"/>
    <w:rsid w:val="008319BA"/>
    <w:rsid w:val="00844232"/>
    <w:rsid w:val="008471C7"/>
    <w:rsid w:val="00847674"/>
    <w:rsid w:val="0085054E"/>
    <w:rsid w:val="00853896"/>
    <w:rsid w:val="00855A86"/>
    <w:rsid w:val="0086022A"/>
    <w:rsid w:val="008605CE"/>
    <w:rsid w:val="00862CC1"/>
    <w:rsid w:val="0086471E"/>
    <w:rsid w:val="0087077E"/>
    <w:rsid w:val="0088514E"/>
    <w:rsid w:val="00885302"/>
    <w:rsid w:val="00886011"/>
    <w:rsid w:val="00887A60"/>
    <w:rsid w:val="008930D0"/>
    <w:rsid w:val="00893469"/>
    <w:rsid w:val="008964D7"/>
    <w:rsid w:val="008C7EFB"/>
    <w:rsid w:val="008D0352"/>
    <w:rsid w:val="008D0F77"/>
    <w:rsid w:val="008E4D35"/>
    <w:rsid w:val="008E4E27"/>
    <w:rsid w:val="008E6838"/>
    <w:rsid w:val="008F0C18"/>
    <w:rsid w:val="008F38E5"/>
    <w:rsid w:val="00910754"/>
    <w:rsid w:val="0091640C"/>
    <w:rsid w:val="00926392"/>
    <w:rsid w:val="009264DC"/>
    <w:rsid w:val="009316DA"/>
    <w:rsid w:val="00946208"/>
    <w:rsid w:val="00950606"/>
    <w:rsid w:val="009510D8"/>
    <w:rsid w:val="00952D76"/>
    <w:rsid w:val="00955214"/>
    <w:rsid w:val="00971D99"/>
    <w:rsid w:val="00973922"/>
    <w:rsid w:val="00984B44"/>
    <w:rsid w:val="00991F8C"/>
    <w:rsid w:val="009A2E70"/>
    <w:rsid w:val="009B0845"/>
    <w:rsid w:val="009D2ECF"/>
    <w:rsid w:val="009D6179"/>
    <w:rsid w:val="009E30C3"/>
    <w:rsid w:val="009E5882"/>
    <w:rsid w:val="009F13B4"/>
    <w:rsid w:val="009F1525"/>
    <w:rsid w:val="009F1F35"/>
    <w:rsid w:val="009F27AF"/>
    <w:rsid w:val="00A042AF"/>
    <w:rsid w:val="00A05DE2"/>
    <w:rsid w:val="00A06852"/>
    <w:rsid w:val="00A14432"/>
    <w:rsid w:val="00A16E93"/>
    <w:rsid w:val="00A2544B"/>
    <w:rsid w:val="00A2733F"/>
    <w:rsid w:val="00A30822"/>
    <w:rsid w:val="00A34927"/>
    <w:rsid w:val="00A36034"/>
    <w:rsid w:val="00A36C7A"/>
    <w:rsid w:val="00A43292"/>
    <w:rsid w:val="00A52D6A"/>
    <w:rsid w:val="00A91909"/>
    <w:rsid w:val="00A94C08"/>
    <w:rsid w:val="00A96ED0"/>
    <w:rsid w:val="00AA695D"/>
    <w:rsid w:val="00AC60DA"/>
    <w:rsid w:val="00AD5A3D"/>
    <w:rsid w:val="00AE5A44"/>
    <w:rsid w:val="00AF1FD7"/>
    <w:rsid w:val="00AF3A3F"/>
    <w:rsid w:val="00AF7394"/>
    <w:rsid w:val="00B05F8E"/>
    <w:rsid w:val="00B109E2"/>
    <w:rsid w:val="00B13AC0"/>
    <w:rsid w:val="00B160F1"/>
    <w:rsid w:val="00B21103"/>
    <w:rsid w:val="00B2303D"/>
    <w:rsid w:val="00B35BE9"/>
    <w:rsid w:val="00B4277B"/>
    <w:rsid w:val="00B435CC"/>
    <w:rsid w:val="00B57F94"/>
    <w:rsid w:val="00B614AD"/>
    <w:rsid w:val="00B76ED6"/>
    <w:rsid w:val="00B82102"/>
    <w:rsid w:val="00B84EB9"/>
    <w:rsid w:val="00B85524"/>
    <w:rsid w:val="00B92590"/>
    <w:rsid w:val="00B952A6"/>
    <w:rsid w:val="00BA1515"/>
    <w:rsid w:val="00BC2BCA"/>
    <w:rsid w:val="00BC7940"/>
    <w:rsid w:val="00BD4922"/>
    <w:rsid w:val="00BD6CF6"/>
    <w:rsid w:val="00BE07F7"/>
    <w:rsid w:val="00BF2F8F"/>
    <w:rsid w:val="00C0312B"/>
    <w:rsid w:val="00C050BE"/>
    <w:rsid w:val="00C16EAA"/>
    <w:rsid w:val="00C2056C"/>
    <w:rsid w:val="00C30D5F"/>
    <w:rsid w:val="00C35EA7"/>
    <w:rsid w:val="00C43928"/>
    <w:rsid w:val="00C45C82"/>
    <w:rsid w:val="00C46D61"/>
    <w:rsid w:val="00C64C7E"/>
    <w:rsid w:val="00C655F8"/>
    <w:rsid w:val="00C705B5"/>
    <w:rsid w:val="00C8069F"/>
    <w:rsid w:val="00CA18E0"/>
    <w:rsid w:val="00CB1B90"/>
    <w:rsid w:val="00CB2FD1"/>
    <w:rsid w:val="00CC690F"/>
    <w:rsid w:val="00CC795D"/>
    <w:rsid w:val="00CD30DC"/>
    <w:rsid w:val="00CD41B3"/>
    <w:rsid w:val="00CD45AB"/>
    <w:rsid w:val="00CD6F5E"/>
    <w:rsid w:val="00CD7A85"/>
    <w:rsid w:val="00CE2F5C"/>
    <w:rsid w:val="00CE4100"/>
    <w:rsid w:val="00CE76D4"/>
    <w:rsid w:val="00CF2178"/>
    <w:rsid w:val="00D01F9C"/>
    <w:rsid w:val="00D110D6"/>
    <w:rsid w:val="00D1171F"/>
    <w:rsid w:val="00D2000C"/>
    <w:rsid w:val="00D200EA"/>
    <w:rsid w:val="00D22D4B"/>
    <w:rsid w:val="00D22F29"/>
    <w:rsid w:val="00D23904"/>
    <w:rsid w:val="00D31D87"/>
    <w:rsid w:val="00D347B9"/>
    <w:rsid w:val="00D3485B"/>
    <w:rsid w:val="00D41586"/>
    <w:rsid w:val="00D43779"/>
    <w:rsid w:val="00D51812"/>
    <w:rsid w:val="00D56439"/>
    <w:rsid w:val="00D57E72"/>
    <w:rsid w:val="00D66464"/>
    <w:rsid w:val="00D70C7B"/>
    <w:rsid w:val="00D71655"/>
    <w:rsid w:val="00D72464"/>
    <w:rsid w:val="00D867B8"/>
    <w:rsid w:val="00D87125"/>
    <w:rsid w:val="00D87DF7"/>
    <w:rsid w:val="00D93ADD"/>
    <w:rsid w:val="00D93C2B"/>
    <w:rsid w:val="00D94659"/>
    <w:rsid w:val="00D95A47"/>
    <w:rsid w:val="00D9689A"/>
    <w:rsid w:val="00DA0D16"/>
    <w:rsid w:val="00DC4A4F"/>
    <w:rsid w:val="00DC6A28"/>
    <w:rsid w:val="00DD48CC"/>
    <w:rsid w:val="00DD4982"/>
    <w:rsid w:val="00DE4E45"/>
    <w:rsid w:val="00DE4FFD"/>
    <w:rsid w:val="00DE62A5"/>
    <w:rsid w:val="00DF02BA"/>
    <w:rsid w:val="00DF0B1C"/>
    <w:rsid w:val="00E01C62"/>
    <w:rsid w:val="00E10E31"/>
    <w:rsid w:val="00E10EBA"/>
    <w:rsid w:val="00E116F2"/>
    <w:rsid w:val="00E300AC"/>
    <w:rsid w:val="00E42E1F"/>
    <w:rsid w:val="00E56896"/>
    <w:rsid w:val="00E70FB2"/>
    <w:rsid w:val="00E7358F"/>
    <w:rsid w:val="00E75339"/>
    <w:rsid w:val="00E816C1"/>
    <w:rsid w:val="00E8240A"/>
    <w:rsid w:val="00E83CE4"/>
    <w:rsid w:val="00E8749B"/>
    <w:rsid w:val="00EA09BE"/>
    <w:rsid w:val="00EA19BC"/>
    <w:rsid w:val="00EB5FA9"/>
    <w:rsid w:val="00EC13EC"/>
    <w:rsid w:val="00EC1A4C"/>
    <w:rsid w:val="00ED0ECB"/>
    <w:rsid w:val="00ED2E3B"/>
    <w:rsid w:val="00EE317B"/>
    <w:rsid w:val="00EE742B"/>
    <w:rsid w:val="00EF1223"/>
    <w:rsid w:val="00F006C6"/>
    <w:rsid w:val="00F02BB3"/>
    <w:rsid w:val="00F04161"/>
    <w:rsid w:val="00F05761"/>
    <w:rsid w:val="00F11FE5"/>
    <w:rsid w:val="00F22ECC"/>
    <w:rsid w:val="00F2412D"/>
    <w:rsid w:val="00F2738F"/>
    <w:rsid w:val="00F36BFC"/>
    <w:rsid w:val="00F42A54"/>
    <w:rsid w:val="00F43C75"/>
    <w:rsid w:val="00F4456A"/>
    <w:rsid w:val="00F4457E"/>
    <w:rsid w:val="00F51913"/>
    <w:rsid w:val="00F53F26"/>
    <w:rsid w:val="00F55A7B"/>
    <w:rsid w:val="00F65800"/>
    <w:rsid w:val="00F74686"/>
    <w:rsid w:val="00F76582"/>
    <w:rsid w:val="00F85A36"/>
    <w:rsid w:val="00F90457"/>
    <w:rsid w:val="00FB7C72"/>
    <w:rsid w:val="00FC525B"/>
    <w:rsid w:val="00FC538C"/>
    <w:rsid w:val="00FC5D96"/>
    <w:rsid w:val="00FD3735"/>
    <w:rsid w:val="00FD4BB0"/>
    <w:rsid w:val="00FE5B4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77D52-91C3-47C9-90EF-F05387E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ABE"/>
    <w:pPr>
      <w:spacing w:after="0" w:line="240" w:lineRule="auto"/>
      <w:jc w:val="both"/>
    </w:pPr>
    <w:rPr>
      <w:rFonts w:ascii="Arial" w:eastAsia="Times New Roman" w:hAnsi="Arial" w:cs="Arial"/>
      <w:lang w:val="en-GB" w:eastAsia="fr-FR"/>
    </w:rPr>
  </w:style>
  <w:style w:type="paragraph" w:styleId="Heading1">
    <w:name w:val="heading 1"/>
    <w:aliases w:val="Sub-heading"/>
    <w:basedOn w:val="Normal"/>
    <w:next w:val="paragraph"/>
    <w:link w:val="Heading1Char"/>
    <w:autoRedefine/>
    <w:qFormat/>
    <w:rsid w:val="00630ABE"/>
    <w:pPr>
      <w:keepNext/>
      <w:tabs>
        <w:tab w:val="left" w:pos="709"/>
      </w:tabs>
      <w:spacing w:before="240" w:after="120"/>
      <w:outlineLvl w:val="0"/>
    </w:pPr>
    <w:rPr>
      <w:b/>
      <w:bCs/>
      <w:caps/>
      <w:sz w:val="24"/>
      <w:szCs w:val="32"/>
    </w:rPr>
  </w:style>
  <w:style w:type="paragraph" w:styleId="Heading2">
    <w:name w:val="heading 2"/>
    <w:aliases w:val="Sub-heading-level2"/>
    <w:basedOn w:val="Normal"/>
    <w:next w:val="paragraph"/>
    <w:link w:val="Heading2Char"/>
    <w:autoRedefine/>
    <w:qFormat/>
    <w:rsid w:val="00630ABE"/>
    <w:pPr>
      <w:keepNext/>
      <w:spacing w:before="240"/>
      <w:outlineLvl w:val="1"/>
    </w:pPr>
    <w:rPr>
      <w:b/>
      <w:bCs/>
      <w:color w:val="0033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ing Char"/>
    <w:basedOn w:val="DefaultParagraphFont"/>
    <w:link w:val="Heading1"/>
    <w:rsid w:val="00630ABE"/>
    <w:rPr>
      <w:rFonts w:ascii="Arial" w:eastAsia="Times New Roman" w:hAnsi="Arial" w:cs="Arial"/>
      <w:b/>
      <w:bCs/>
      <w:caps/>
      <w:sz w:val="24"/>
      <w:szCs w:val="32"/>
      <w:lang w:val="en-GB" w:eastAsia="fr-FR"/>
    </w:rPr>
  </w:style>
  <w:style w:type="character" w:customStyle="1" w:styleId="Heading2Char">
    <w:name w:val="Heading 2 Char"/>
    <w:aliases w:val="Sub-heading-level2 Char"/>
    <w:basedOn w:val="DefaultParagraphFont"/>
    <w:link w:val="Heading2"/>
    <w:rsid w:val="00630ABE"/>
    <w:rPr>
      <w:rFonts w:ascii="Arial" w:eastAsia="Times New Roman" w:hAnsi="Arial" w:cs="Arial"/>
      <w:b/>
      <w:bCs/>
      <w:color w:val="003300"/>
      <w:sz w:val="24"/>
      <w:lang w:val="en-GB" w:eastAsia="fr-FR"/>
    </w:rPr>
  </w:style>
  <w:style w:type="paragraph" w:customStyle="1" w:styleId="TITLEOFPAPER">
    <w:name w:val="TITLE OF PAPER"/>
    <w:basedOn w:val="Normal"/>
    <w:next w:val="Authors"/>
    <w:rsid w:val="00630ABE"/>
    <w:pPr>
      <w:spacing w:before="1200" w:after="240"/>
      <w:jc w:val="left"/>
      <w:outlineLvl w:val="0"/>
    </w:pPr>
    <w:rPr>
      <w:b/>
      <w:bCs/>
      <w:caps/>
      <w:sz w:val="28"/>
    </w:rPr>
  </w:style>
  <w:style w:type="paragraph" w:customStyle="1" w:styleId="Abstract-title">
    <w:name w:val="Abstract-title"/>
    <w:basedOn w:val="Normal"/>
    <w:next w:val="paragraph"/>
    <w:rsid w:val="00630ABE"/>
    <w:rPr>
      <w:b/>
    </w:rPr>
  </w:style>
  <w:style w:type="paragraph" w:customStyle="1" w:styleId="Authors">
    <w:name w:val="Authors"/>
    <w:basedOn w:val="Normal"/>
    <w:next w:val="Affiliation"/>
    <w:rsid w:val="00630ABE"/>
    <w:pPr>
      <w:spacing w:after="240"/>
    </w:pPr>
    <w:rPr>
      <w:b/>
    </w:rPr>
  </w:style>
  <w:style w:type="character" w:styleId="Hyperlink">
    <w:name w:val="Hyperlink"/>
    <w:semiHidden/>
    <w:rsid w:val="00630ABE"/>
    <w:rPr>
      <w:color w:val="0000FF"/>
      <w:u w:val="single"/>
    </w:rPr>
  </w:style>
  <w:style w:type="paragraph" w:styleId="Footer">
    <w:name w:val="footer"/>
    <w:basedOn w:val="Normal"/>
    <w:link w:val="FooterChar"/>
    <w:semiHidden/>
    <w:rsid w:val="00630ABE"/>
    <w:pPr>
      <w:tabs>
        <w:tab w:val="center" w:pos="4536"/>
        <w:tab w:val="right" w:pos="9072"/>
      </w:tabs>
      <w:jc w:val="right"/>
    </w:pPr>
  </w:style>
  <w:style w:type="character" w:customStyle="1" w:styleId="FooterChar">
    <w:name w:val="Footer Char"/>
    <w:basedOn w:val="DefaultParagraphFont"/>
    <w:link w:val="Footer"/>
    <w:semiHidden/>
    <w:rsid w:val="00630ABE"/>
    <w:rPr>
      <w:rFonts w:ascii="Arial" w:eastAsia="Times New Roman" w:hAnsi="Arial" w:cs="Arial"/>
      <w:lang w:val="en-GB" w:eastAsia="fr-FR"/>
    </w:rPr>
  </w:style>
  <w:style w:type="paragraph" w:customStyle="1" w:styleId="figurecaption">
    <w:name w:val="figure caption"/>
    <w:basedOn w:val="Text"/>
    <w:next w:val="paragraph"/>
    <w:autoRedefine/>
    <w:rsid w:val="00630ABE"/>
    <w:pPr>
      <w:spacing w:before="120" w:after="240"/>
      <w:jc w:val="center"/>
    </w:pPr>
  </w:style>
  <w:style w:type="paragraph" w:customStyle="1" w:styleId="paragraph">
    <w:name w:val="paragraph"/>
    <w:basedOn w:val="Normal"/>
    <w:rsid w:val="00630ABE"/>
    <w:pPr>
      <w:ind w:firstLine="284"/>
    </w:pPr>
  </w:style>
  <w:style w:type="paragraph" w:customStyle="1" w:styleId="NormalList">
    <w:name w:val="Normal List"/>
    <w:basedOn w:val="Normal"/>
    <w:rsid w:val="00630ABE"/>
    <w:pPr>
      <w:numPr>
        <w:numId w:val="1"/>
      </w:numPr>
    </w:pPr>
  </w:style>
  <w:style w:type="paragraph" w:customStyle="1" w:styleId="Affiliation">
    <w:name w:val="Affiliation"/>
    <w:basedOn w:val="Normal"/>
    <w:autoRedefine/>
    <w:rsid w:val="00266D05"/>
    <w:pPr>
      <w:spacing w:before="120" w:after="60"/>
    </w:pPr>
    <w:rPr>
      <w:rFonts w:ascii="Times New Roman" w:hAnsi="Times New Roman" w:cs="Times New Roman"/>
      <w:sz w:val="24"/>
      <w:szCs w:val="24"/>
      <w:lang w:val="es-ES"/>
    </w:rPr>
  </w:style>
  <w:style w:type="paragraph" w:customStyle="1" w:styleId="Text">
    <w:name w:val="Text"/>
    <w:basedOn w:val="Normal"/>
    <w:rsid w:val="00630ABE"/>
    <w:pPr>
      <w:spacing w:after="120"/>
    </w:pPr>
  </w:style>
  <w:style w:type="paragraph" w:customStyle="1" w:styleId="ParagraphReferences">
    <w:name w:val="Paragraph References"/>
    <w:basedOn w:val="paragraph"/>
    <w:autoRedefine/>
    <w:rsid w:val="00630ABE"/>
    <w:pPr>
      <w:numPr>
        <w:numId w:val="2"/>
      </w:numPr>
      <w:tabs>
        <w:tab w:val="left" w:pos="425"/>
      </w:tabs>
    </w:pPr>
  </w:style>
  <w:style w:type="character" w:styleId="PageNumber">
    <w:name w:val="page number"/>
    <w:basedOn w:val="DefaultParagraphFont"/>
    <w:semiHidden/>
    <w:rsid w:val="00630ABE"/>
  </w:style>
  <w:style w:type="character" w:styleId="CommentReference">
    <w:name w:val="annotation reference"/>
    <w:basedOn w:val="DefaultParagraphFont"/>
    <w:uiPriority w:val="99"/>
    <w:semiHidden/>
    <w:unhideWhenUsed/>
    <w:rsid w:val="00973922"/>
    <w:rPr>
      <w:sz w:val="16"/>
      <w:szCs w:val="16"/>
    </w:rPr>
  </w:style>
  <w:style w:type="paragraph" w:styleId="CommentText">
    <w:name w:val="annotation text"/>
    <w:basedOn w:val="Normal"/>
    <w:link w:val="CommentTextChar"/>
    <w:uiPriority w:val="99"/>
    <w:semiHidden/>
    <w:unhideWhenUsed/>
    <w:rsid w:val="00973922"/>
    <w:rPr>
      <w:sz w:val="20"/>
      <w:szCs w:val="20"/>
    </w:rPr>
  </w:style>
  <w:style w:type="character" w:customStyle="1" w:styleId="CommentTextChar">
    <w:name w:val="Comment Text Char"/>
    <w:basedOn w:val="DefaultParagraphFont"/>
    <w:link w:val="CommentText"/>
    <w:uiPriority w:val="99"/>
    <w:semiHidden/>
    <w:rsid w:val="00973922"/>
    <w:rPr>
      <w:rFonts w:ascii="Arial" w:eastAsia="Times New Roman" w:hAnsi="Arial" w:cs="Arial"/>
      <w:sz w:val="20"/>
      <w:szCs w:val="20"/>
      <w:lang w:val="en-GB" w:eastAsia="fr-FR"/>
    </w:rPr>
  </w:style>
  <w:style w:type="paragraph" w:styleId="CommentSubject">
    <w:name w:val="annotation subject"/>
    <w:basedOn w:val="CommentText"/>
    <w:next w:val="CommentText"/>
    <w:link w:val="CommentSubjectChar"/>
    <w:uiPriority w:val="99"/>
    <w:semiHidden/>
    <w:unhideWhenUsed/>
    <w:rsid w:val="00973922"/>
    <w:rPr>
      <w:b/>
      <w:bCs/>
    </w:rPr>
  </w:style>
  <w:style w:type="character" w:customStyle="1" w:styleId="CommentSubjectChar">
    <w:name w:val="Comment Subject Char"/>
    <w:basedOn w:val="CommentTextChar"/>
    <w:link w:val="CommentSubject"/>
    <w:uiPriority w:val="99"/>
    <w:semiHidden/>
    <w:rsid w:val="00973922"/>
    <w:rPr>
      <w:rFonts w:ascii="Arial" w:eastAsia="Times New Roman" w:hAnsi="Arial" w:cs="Arial"/>
      <w:b/>
      <w:bCs/>
      <w:sz w:val="20"/>
      <w:szCs w:val="20"/>
      <w:lang w:val="en-GB" w:eastAsia="fr-FR"/>
    </w:rPr>
  </w:style>
  <w:style w:type="paragraph" w:styleId="BalloonText">
    <w:name w:val="Balloon Text"/>
    <w:basedOn w:val="Normal"/>
    <w:link w:val="BalloonTextChar"/>
    <w:uiPriority w:val="99"/>
    <w:semiHidden/>
    <w:unhideWhenUsed/>
    <w:rsid w:val="009739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922"/>
    <w:rPr>
      <w:rFonts w:ascii="Segoe UI" w:eastAsia="Times New Roman" w:hAnsi="Segoe UI" w:cs="Segoe UI"/>
      <w:sz w:val="18"/>
      <w:szCs w:val="18"/>
      <w:lang w:val="en-GB" w:eastAsia="fr-FR"/>
    </w:rPr>
  </w:style>
  <w:style w:type="paragraph" w:styleId="Header">
    <w:name w:val="header"/>
    <w:basedOn w:val="Normal"/>
    <w:link w:val="HeaderChar"/>
    <w:uiPriority w:val="99"/>
    <w:semiHidden/>
    <w:unhideWhenUsed/>
    <w:rsid w:val="00AE5A44"/>
    <w:pPr>
      <w:tabs>
        <w:tab w:val="center" w:pos="4536"/>
        <w:tab w:val="right" w:pos="9072"/>
      </w:tabs>
    </w:pPr>
  </w:style>
  <w:style w:type="character" w:customStyle="1" w:styleId="HeaderChar">
    <w:name w:val="Header Char"/>
    <w:basedOn w:val="DefaultParagraphFont"/>
    <w:link w:val="Header"/>
    <w:uiPriority w:val="99"/>
    <w:semiHidden/>
    <w:rsid w:val="00AE5A44"/>
    <w:rPr>
      <w:rFonts w:ascii="Arial" w:eastAsia="Times New Roman" w:hAnsi="Arial" w:cs="Arial"/>
      <w:lang w:val="en-GB" w:eastAsia="fr-FR"/>
    </w:rPr>
  </w:style>
  <w:style w:type="table" w:styleId="TableGrid">
    <w:name w:val="Table Grid"/>
    <w:basedOn w:val="TableNormal"/>
    <w:uiPriority w:val="39"/>
    <w:rsid w:val="00E82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8240A"/>
    <w:pPr>
      <w:spacing w:after="200"/>
      <w:jc w:val="left"/>
    </w:pPr>
    <w:rPr>
      <w:rFonts w:asciiTheme="minorHAnsi" w:eastAsiaTheme="minorHAnsi" w:hAnsiTheme="minorHAnsi" w:cstheme="minorBidi"/>
      <w:i/>
      <w:iCs/>
      <w:color w:val="1F497D" w:themeColor="text2"/>
      <w:sz w:val="18"/>
      <w:szCs w:val="18"/>
      <w:lang w:val="fr-FR" w:eastAsia="en-US"/>
    </w:rPr>
  </w:style>
  <w:style w:type="paragraph" w:styleId="ListParagraph">
    <w:name w:val="List Paragraph"/>
    <w:basedOn w:val="Normal"/>
    <w:uiPriority w:val="34"/>
    <w:qFormat/>
    <w:rsid w:val="00363DAF"/>
    <w:pPr>
      <w:ind w:left="720"/>
      <w:contextualSpacing/>
    </w:pPr>
  </w:style>
  <w:style w:type="paragraph" w:styleId="NoSpacing">
    <w:name w:val="No Spacing"/>
    <w:uiPriority w:val="1"/>
    <w:qFormat/>
    <w:rsid w:val="0034312E"/>
    <w:pPr>
      <w:spacing w:after="0" w:line="240" w:lineRule="auto"/>
      <w:jc w:val="both"/>
    </w:pPr>
    <w:rPr>
      <w:rFonts w:ascii="Arial" w:eastAsia="Times New Roman" w:hAnsi="Arial" w:cs="Arial"/>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5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transport/themes/infrastructure/ten-t-guidelines/corridors/corridor-studies_en.htm" TargetMode="External"/><Relationship Id="rId5" Type="http://schemas.openxmlformats.org/officeDocument/2006/relationships/webSettings" Target="webSettings.xml"/><Relationship Id="rId10" Type="http://schemas.openxmlformats.org/officeDocument/2006/relationships/hyperlink" Target="http://ec.europa.eu/eurostat/data/databas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C1784-646C-4B1D-844A-7974C980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3827</TotalTime>
  <Pages>12</Pages>
  <Words>4218</Words>
  <Characters>23205</Characters>
  <Application>Microsoft Office Word</Application>
  <DocSecurity>0</DocSecurity>
  <Lines>193</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27369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sorez</dc:creator>
  <cp:lastModifiedBy>Angel Merchan</cp:lastModifiedBy>
  <cp:revision>235</cp:revision>
  <cp:lastPrinted>2015-04-08T17:28:00Z</cp:lastPrinted>
  <dcterms:created xsi:type="dcterms:W3CDTF">2014-11-24T22:10:00Z</dcterms:created>
  <dcterms:modified xsi:type="dcterms:W3CDTF">2015-04-15T13:12:00Z</dcterms:modified>
</cp:coreProperties>
</file>