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76" w:rsidRPr="001056B6" w:rsidRDefault="000E0654" w:rsidP="001056B6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1056B6">
        <w:rPr>
          <w:rFonts w:ascii="Arial" w:hAnsi="Arial" w:cs="Arial"/>
          <w:b/>
          <w:sz w:val="28"/>
          <w:szCs w:val="28"/>
          <w:lang w:val="en-US"/>
        </w:rPr>
        <w:t>Actieve studies</w:t>
      </w:r>
    </w:p>
    <w:p w:rsidR="000E0654" w:rsidRDefault="000E0654"/>
    <w:tbl>
      <w:tblPr>
        <w:tblStyle w:val="Tabelraster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559"/>
        <w:gridCol w:w="1985"/>
        <w:gridCol w:w="4819"/>
        <w:gridCol w:w="1843"/>
      </w:tblGrid>
      <w:tr w:rsidR="009F43F3" w:rsidTr="009F43F3">
        <w:tc>
          <w:tcPr>
            <w:tcW w:w="3403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1134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Phase</w:t>
            </w:r>
          </w:p>
        </w:tc>
        <w:tc>
          <w:tcPr>
            <w:tcW w:w="155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proofErr w:type="spellStart"/>
            <w:r w:rsidRPr="00DE1539">
              <w:rPr>
                <w:rFonts w:ascii="Arial" w:hAnsi="Arial" w:cs="Arial"/>
                <w:lang w:val="en-US"/>
              </w:rPr>
              <w:t>Tumortype</w:t>
            </w:r>
            <w:proofErr w:type="spellEnd"/>
          </w:p>
        </w:tc>
        <w:tc>
          <w:tcPr>
            <w:tcW w:w="1985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Line of Therapy</w:t>
            </w:r>
          </w:p>
        </w:tc>
        <w:tc>
          <w:tcPr>
            <w:tcW w:w="481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Study Information</w:t>
            </w:r>
          </w:p>
        </w:tc>
        <w:tc>
          <w:tcPr>
            <w:tcW w:w="1843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Register</w:t>
            </w:r>
          </w:p>
        </w:tc>
      </w:tr>
      <w:tr w:rsidR="009F43F3" w:rsidTr="009F43F3">
        <w:tc>
          <w:tcPr>
            <w:tcW w:w="3403" w:type="dxa"/>
          </w:tcPr>
          <w:p w:rsidR="009F43F3" w:rsidRDefault="009F43F3" w:rsidP="009F43F3">
            <w:pPr>
              <w:rPr>
                <w:rFonts w:ascii="Arial" w:hAnsi="Arial" w:cs="Arial"/>
                <w:lang w:val="en-US"/>
              </w:rPr>
            </w:pPr>
            <w:r w:rsidRPr="000721FA">
              <w:rPr>
                <w:rFonts w:ascii="Arial" w:hAnsi="Arial" w:cs="Arial"/>
                <w:lang w:val="en-US"/>
              </w:rPr>
              <w:t>First-line immunotherapy using Wilms’ tumor protein 1 (WT1)-targeted dendritic cell vaccinations for malignant pleural mesothelioma</w:t>
            </w:r>
          </w:p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I/II</w:t>
            </w:r>
          </w:p>
        </w:tc>
        <w:tc>
          <w:tcPr>
            <w:tcW w:w="155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MPM</w:t>
            </w:r>
          </w:p>
        </w:tc>
        <w:tc>
          <w:tcPr>
            <w:tcW w:w="1985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1L</w:t>
            </w:r>
          </w:p>
        </w:tc>
        <w:tc>
          <w:tcPr>
            <w:tcW w:w="4819" w:type="dxa"/>
          </w:tcPr>
          <w:p w:rsidR="009F43F3" w:rsidRPr="00DE1539" w:rsidRDefault="009F43F3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proofErr w:type="spellStart"/>
            <w:r w:rsidRPr="00DE1539">
              <w:rPr>
                <w:rFonts w:ascii="Arial" w:hAnsi="Arial" w:cs="Arial"/>
                <w:lang w:val="en-US"/>
              </w:rPr>
              <w:t>Epitheloid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 mesothelioma</w:t>
            </w:r>
          </w:p>
          <w:p w:rsidR="009F43F3" w:rsidRPr="00DE1539" w:rsidRDefault="00EC4541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Q3W: </w:t>
            </w:r>
            <w:proofErr w:type="spellStart"/>
            <w:r w:rsidR="009F43F3" w:rsidRPr="00DE1539">
              <w:rPr>
                <w:rFonts w:ascii="Arial" w:hAnsi="Arial" w:cs="Arial"/>
                <w:lang w:val="en-US"/>
              </w:rPr>
              <w:t>Pemetrexed</w:t>
            </w:r>
            <w:proofErr w:type="spellEnd"/>
            <w:r w:rsidR="009F43F3" w:rsidRPr="00DE1539"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lang w:val="en-US"/>
              </w:rPr>
              <w:t>C</w:t>
            </w:r>
            <w:r w:rsidR="009F43F3" w:rsidRPr="00DE1539">
              <w:rPr>
                <w:rFonts w:ascii="Arial" w:hAnsi="Arial" w:cs="Arial"/>
                <w:lang w:val="en-US"/>
              </w:rPr>
              <w:t>isplatinum</w:t>
            </w:r>
            <w:proofErr w:type="spellEnd"/>
            <w:r w:rsidR="009F43F3" w:rsidRPr="00DE153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="009F43F3" w:rsidRPr="00DE1539">
              <w:rPr>
                <w:rFonts w:ascii="Arial" w:hAnsi="Arial" w:cs="Arial"/>
                <w:lang w:val="en-US"/>
              </w:rPr>
              <w:t xml:space="preserve">+ DC vaccination </w:t>
            </w:r>
          </w:p>
          <w:p w:rsidR="009F43F3" w:rsidRPr="00DE1539" w:rsidRDefault="009F43F3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Ongoing DC vaccination Q4W</w:t>
            </w:r>
          </w:p>
        </w:tc>
        <w:tc>
          <w:tcPr>
            <w:tcW w:w="1843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NCT02649829</w:t>
            </w:r>
          </w:p>
        </w:tc>
      </w:tr>
      <w:tr w:rsidR="009F43F3" w:rsidTr="009F43F3">
        <w:tc>
          <w:tcPr>
            <w:tcW w:w="3403" w:type="dxa"/>
          </w:tcPr>
          <w:p w:rsidR="009F43F3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 Phase III, Randomized, Double-blind Trial of Platinum Doublet Chemotherapy +/- </w:t>
            </w:r>
            <w:proofErr w:type="spellStart"/>
            <w:r>
              <w:rPr>
                <w:rFonts w:ascii="Arial" w:hAnsi="Arial" w:cs="Arial"/>
                <w:lang w:val="en-US"/>
              </w:rPr>
              <w:t>Pembrolizumab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(MK-3475) as </w:t>
            </w:r>
            <w:proofErr w:type="spellStart"/>
            <w:r>
              <w:rPr>
                <w:rFonts w:ascii="Arial" w:hAnsi="Arial" w:cs="Arial"/>
                <w:lang w:val="en-US"/>
              </w:rPr>
              <w:t>Neoadjuvant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/Adjuvant Therapy for Participants with </w:t>
            </w:r>
            <w:proofErr w:type="spellStart"/>
            <w:r>
              <w:rPr>
                <w:rFonts w:ascii="Arial" w:hAnsi="Arial" w:cs="Arial"/>
                <w:lang w:val="en-US"/>
              </w:rPr>
              <w:t>Resectable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Stage IIB or IIIA Non-Small Cell Lung Cancer (NSCLC) (KEYNOTE-671)</w:t>
            </w:r>
          </w:p>
          <w:p w:rsidR="009F43F3" w:rsidRPr="000721FA" w:rsidRDefault="009F43F3" w:rsidP="009F43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55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NSCLC</w:t>
            </w:r>
          </w:p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IIB or IIIA</w:t>
            </w:r>
          </w:p>
        </w:tc>
        <w:tc>
          <w:tcPr>
            <w:tcW w:w="1985" w:type="dxa"/>
          </w:tcPr>
          <w:p w:rsidR="009F43F3" w:rsidRDefault="009F43F3" w:rsidP="009F43F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Neoadjuvant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</w:p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Adjuvant</w:t>
            </w:r>
          </w:p>
        </w:tc>
        <w:tc>
          <w:tcPr>
            <w:tcW w:w="4819" w:type="dxa"/>
          </w:tcPr>
          <w:p w:rsidR="009F43F3" w:rsidRPr="00DE1539" w:rsidRDefault="009F43F3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proofErr w:type="spellStart"/>
            <w:r w:rsidRPr="00DE1539">
              <w:rPr>
                <w:rFonts w:ascii="Arial" w:hAnsi="Arial" w:cs="Arial"/>
                <w:lang w:val="en-US"/>
              </w:rPr>
              <w:t>Neoadjuvant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 Q3W: </w:t>
            </w:r>
            <w:proofErr w:type="spellStart"/>
            <w:r w:rsidRPr="00DE1539">
              <w:rPr>
                <w:rFonts w:ascii="Arial" w:hAnsi="Arial" w:cs="Arial"/>
                <w:lang w:val="en-US"/>
              </w:rPr>
              <w:t>Pembrolizumab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>/Placebo + Gemcitabine/</w:t>
            </w:r>
            <w:proofErr w:type="spellStart"/>
            <w:r w:rsidRPr="00DE1539">
              <w:rPr>
                <w:rFonts w:ascii="Arial" w:hAnsi="Arial" w:cs="Arial"/>
                <w:lang w:val="en-US"/>
              </w:rPr>
              <w:t>Pemetrexed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 w:rsidRPr="00DE1539">
              <w:rPr>
                <w:rFonts w:ascii="Arial" w:hAnsi="Arial" w:cs="Arial"/>
                <w:lang w:val="en-US"/>
              </w:rPr>
              <w:t>Cisplatinum</w:t>
            </w:r>
            <w:proofErr w:type="spellEnd"/>
          </w:p>
          <w:p w:rsidR="009F43F3" w:rsidRPr="00DE1539" w:rsidRDefault="009F43F3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 w:rsidRPr="00DE1539">
              <w:rPr>
                <w:rFonts w:ascii="Arial" w:hAnsi="Arial" w:cs="Arial"/>
                <w:lang w:val="en-US"/>
              </w:rPr>
              <w:t>Adjuvant Q3W:</w:t>
            </w:r>
            <w:r w:rsidRPr="00DE1539">
              <w:rPr>
                <w:rFonts w:ascii="Arial" w:hAnsi="Arial" w:cs="Arial"/>
                <w:lang w:val="en-US"/>
              </w:rPr>
              <w:br/>
            </w:r>
            <w:proofErr w:type="spellStart"/>
            <w:r w:rsidRPr="00DE1539">
              <w:rPr>
                <w:rFonts w:ascii="Arial" w:hAnsi="Arial" w:cs="Arial"/>
                <w:lang w:val="en-US"/>
              </w:rPr>
              <w:t>Pembrolizumab</w:t>
            </w:r>
            <w:proofErr w:type="spellEnd"/>
            <w:r w:rsidRPr="00DE1539">
              <w:rPr>
                <w:rFonts w:ascii="Arial" w:hAnsi="Arial" w:cs="Arial"/>
                <w:lang w:val="en-US"/>
              </w:rPr>
              <w:t>/Placebo</w:t>
            </w:r>
          </w:p>
        </w:tc>
        <w:tc>
          <w:tcPr>
            <w:tcW w:w="1843" w:type="dxa"/>
          </w:tcPr>
          <w:p w:rsidR="009F43F3" w:rsidRPr="00DE1539" w:rsidRDefault="00BA1032" w:rsidP="009F43F3">
            <w:pPr>
              <w:rPr>
                <w:rFonts w:ascii="Arial" w:hAnsi="Arial" w:cs="Arial"/>
                <w:lang w:val="en-US"/>
              </w:rPr>
            </w:pPr>
            <w:hyperlink r:id="rId5" w:tooltip="Current version of study NCT03425643 on ClinicalTrials.gov" w:history="1">
              <w:r w:rsidR="009F43F3" w:rsidRPr="00DE1539">
                <w:rPr>
                  <w:rFonts w:ascii="Arial" w:hAnsi="Arial" w:cs="Arial"/>
                  <w:lang w:val="en-US"/>
                </w:rPr>
                <w:t>NCT03425643</w:t>
              </w:r>
            </w:hyperlink>
          </w:p>
        </w:tc>
      </w:tr>
      <w:tr w:rsidR="009F43F3" w:rsidRPr="009F43F3" w:rsidTr="009F43F3">
        <w:tc>
          <w:tcPr>
            <w:tcW w:w="3403" w:type="dxa"/>
          </w:tcPr>
          <w:p w:rsidR="009F43F3" w:rsidRDefault="009F43F3" w:rsidP="009F43F3">
            <w:pPr>
              <w:rPr>
                <w:rFonts w:ascii="Arial" w:hAnsi="Arial" w:cs="Arial"/>
              </w:rPr>
            </w:pPr>
            <w:r w:rsidRPr="00927460">
              <w:rPr>
                <w:rFonts w:ascii="Arial" w:hAnsi="Arial" w:cs="Arial"/>
              </w:rPr>
              <w:t xml:space="preserve">A </w:t>
            </w:r>
            <w:proofErr w:type="spellStart"/>
            <w:r w:rsidRPr="00927460">
              <w:rPr>
                <w:rFonts w:ascii="Arial" w:hAnsi="Arial" w:cs="Arial"/>
              </w:rPr>
              <w:t>randomized</w:t>
            </w:r>
            <w:proofErr w:type="spellEnd"/>
            <w:r w:rsidRPr="00927460">
              <w:rPr>
                <w:rFonts w:ascii="Arial" w:hAnsi="Arial" w:cs="Arial"/>
              </w:rPr>
              <w:t>, double-blind, placebo-</w:t>
            </w:r>
            <w:proofErr w:type="spellStart"/>
            <w:r w:rsidRPr="00927460">
              <w:rPr>
                <w:rFonts w:ascii="Arial" w:hAnsi="Arial" w:cs="Arial"/>
              </w:rPr>
              <w:t>controlled</w:t>
            </w:r>
            <w:proofErr w:type="spellEnd"/>
            <w:r w:rsidRPr="00927460">
              <w:rPr>
                <w:rFonts w:ascii="Arial" w:hAnsi="Arial" w:cs="Arial"/>
              </w:rPr>
              <w:t xml:space="preserve">, </w:t>
            </w:r>
            <w:proofErr w:type="spellStart"/>
            <w:r w:rsidRPr="00927460">
              <w:rPr>
                <w:rFonts w:ascii="Arial" w:hAnsi="Arial" w:cs="Arial"/>
              </w:rPr>
              <w:t>phase</w:t>
            </w:r>
            <w:proofErr w:type="spellEnd"/>
            <w:r w:rsidRPr="00927460">
              <w:rPr>
                <w:rFonts w:ascii="Arial" w:hAnsi="Arial" w:cs="Arial"/>
              </w:rPr>
              <w:t xml:space="preserve"> III </w:t>
            </w:r>
            <w:proofErr w:type="spellStart"/>
            <w:r w:rsidRPr="00927460">
              <w:rPr>
                <w:rFonts w:ascii="Arial" w:hAnsi="Arial" w:cs="Arial"/>
              </w:rPr>
              <w:t>study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evaluating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the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efficacy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and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safety</w:t>
            </w:r>
            <w:proofErr w:type="spellEnd"/>
            <w:r w:rsidRPr="00927460">
              <w:rPr>
                <w:rFonts w:ascii="Arial" w:hAnsi="Arial" w:cs="Arial"/>
              </w:rPr>
              <w:t xml:space="preserve"> of </w:t>
            </w:r>
            <w:proofErr w:type="spellStart"/>
            <w:r w:rsidRPr="00927460">
              <w:rPr>
                <w:rFonts w:ascii="Arial" w:hAnsi="Arial" w:cs="Arial"/>
              </w:rPr>
              <w:t>canakinumab</w:t>
            </w:r>
            <w:proofErr w:type="spellEnd"/>
            <w:r w:rsidRPr="00927460">
              <w:rPr>
                <w:rFonts w:ascii="Arial" w:hAnsi="Arial" w:cs="Arial"/>
              </w:rPr>
              <w:t xml:space="preserve"> in </w:t>
            </w:r>
            <w:proofErr w:type="spellStart"/>
            <w:r w:rsidRPr="00927460">
              <w:rPr>
                <w:rFonts w:ascii="Arial" w:hAnsi="Arial" w:cs="Arial"/>
              </w:rPr>
              <w:t>combination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with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docetaxel</w:t>
            </w:r>
            <w:proofErr w:type="spellEnd"/>
            <w:r w:rsidRPr="00927460">
              <w:rPr>
                <w:rFonts w:ascii="Arial" w:hAnsi="Arial" w:cs="Arial"/>
              </w:rPr>
              <w:t xml:space="preserve"> versus placebo in </w:t>
            </w:r>
            <w:proofErr w:type="spellStart"/>
            <w:r w:rsidRPr="00927460">
              <w:rPr>
                <w:rFonts w:ascii="Arial" w:hAnsi="Arial" w:cs="Arial"/>
              </w:rPr>
              <w:t>combination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with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docetaxel</w:t>
            </w:r>
            <w:proofErr w:type="spellEnd"/>
            <w:r w:rsidRPr="00927460">
              <w:rPr>
                <w:rFonts w:ascii="Arial" w:hAnsi="Arial" w:cs="Arial"/>
              </w:rPr>
              <w:t xml:space="preserve"> in subjects </w:t>
            </w:r>
            <w:proofErr w:type="spellStart"/>
            <w:r w:rsidRPr="00927460">
              <w:rPr>
                <w:rFonts w:ascii="Arial" w:hAnsi="Arial" w:cs="Arial"/>
              </w:rPr>
              <w:t>with</w:t>
            </w:r>
            <w:proofErr w:type="spellEnd"/>
            <w:r w:rsidRPr="00927460">
              <w:rPr>
                <w:rFonts w:ascii="Arial" w:hAnsi="Arial" w:cs="Arial"/>
              </w:rPr>
              <w:t xml:space="preserve"> NSCLC </w:t>
            </w:r>
            <w:proofErr w:type="spellStart"/>
            <w:r w:rsidRPr="00927460">
              <w:rPr>
                <w:rFonts w:ascii="Arial" w:hAnsi="Arial" w:cs="Arial"/>
              </w:rPr>
              <w:t>previously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treated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with</w:t>
            </w:r>
            <w:proofErr w:type="spellEnd"/>
            <w:r w:rsidRPr="00927460">
              <w:rPr>
                <w:rFonts w:ascii="Arial" w:hAnsi="Arial" w:cs="Arial"/>
              </w:rPr>
              <w:t xml:space="preserve"> PD(L)1 inhibitors </w:t>
            </w:r>
            <w:proofErr w:type="spellStart"/>
            <w:r w:rsidRPr="00927460">
              <w:rPr>
                <w:rFonts w:ascii="Arial" w:hAnsi="Arial" w:cs="Arial"/>
              </w:rPr>
              <w:t>and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platinum-based</w:t>
            </w:r>
            <w:proofErr w:type="spellEnd"/>
            <w:r w:rsidRPr="00927460">
              <w:rPr>
                <w:rFonts w:ascii="Arial" w:hAnsi="Arial" w:cs="Arial"/>
              </w:rPr>
              <w:t xml:space="preserve"> </w:t>
            </w:r>
            <w:proofErr w:type="spellStart"/>
            <w:r w:rsidRPr="00927460">
              <w:rPr>
                <w:rFonts w:ascii="Arial" w:hAnsi="Arial" w:cs="Arial"/>
              </w:rPr>
              <w:t>chemotherapy</w:t>
            </w:r>
            <w:proofErr w:type="spellEnd"/>
            <w:r w:rsidRPr="00927460">
              <w:rPr>
                <w:rFonts w:ascii="Arial" w:hAnsi="Arial" w:cs="Arial"/>
              </w:rPr>
              <w:t xml:space="preserve"> (CANOPY-2)</w:t>
            </w:r>
          </w:p>
          <w:p w:rsidR="009F43F3" w:rsidRPr="000721FA" w:rsidRDefault="009F43F3" w:rsidP="009F43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F43F3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559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NSCLC</w:t>
            </w:r>
            <w:r w:rsidR="00EC4541">
              <w:rPr>
                <w:rFonts w:ascii="Arial" w:hAnsi="Arial" w:cs="Arial"/>
                <w:lang w:val="en-US"/>
              </w:rPr>
              <w:br/>
              <w:t>IIIB or metastatic</w:t>
            </w:r>
            <w:r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1985" w:type="dxa"/>
          </w:tcPr>
          <w:p w:rsidR="009F43F3" w:rsidRPr="00DE1539" w:rsidRDefault="009F43F3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2L/3L</w:t>
            </w:r>
          </w:p>
        </w:tc>
        <w:tc>
          <w:tcPr>
            <w:tcW w:w="4819" w:type="dxa"/>
          </w:tcPr>
          <w:p w:rsidR="009F43F3" w:rsidRPr="00DE1539" w:rsidRDefault="00EC4541" w:rsidP="009F43F3">
            <w:pPr>
              <w:pStyle w:val="Lijstalinea"/>
              <w:numPr>
                <w:ilvl w:val="0"/>
                <w:numId w:val="1"/>
              </w:numPr>
              <w:ind w:left="46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Q3W: </w:t>
            </w:r>
            <w:proofErr w:type="spellStart"/>
            <w:r>
              <w:rPr>
                <w:rFonts w:ascii="Arial" w:hAnsi="Arial" w:cs="Arial"/>
                <w:lang w:val="en-US"/>
              </w:rPr>
              <w:t>Canakinumab</w:t>
            </w:r>
            <w:proofErr w:type="spellEnd"/>
            <w:r>
              <w:rPr>
                <w:rFonts w:ascii="Arial" w:hAnsi="Arial" w:cs="Arial"/>
                <w:lang w:val="en-US"/>
              </w:rPr>
              <w:t>/Placebo + Docetaxel</w:t>
            </w:r>
          </w:p>
        </w:tc>
        <w:tc>
          <w:tcPr>
            <w:tcW w:w="1843" w:type="dxa"/>
          </w:tcPr>
          <w:p w:rsidR="009F43F3" w:rsidRPr="00DE1539" w:rsidRDefault="00BA1032" w:rsidP="009F43F3">
            <w:pPr>
              <w:rPr>
                <w:rFonts w:ascii="Arial" w:hAnsi="Arial" w:cs="Arial"/>
                <w:lang w:val="en-US"/>
              </w:rPr>
            </w:pPr>
            <w:hyperlink r:id="rId6" w:tooltip="Current version of study NCT03626545 on ClinicalTrials.gov" w:history="1">
              <w:r w:rsidR="009F43F3" w:rsidRPr="009F43F3">
                <w:rPr>
                  <w:rFonts w:ascii="Arial" w:hAnsi="Arial" w:cs="Arial"/>
                  <w:lang w:val="en-US"/>
                </w:rPr>
                <w:t>NCT03626545</w:t>
              </w:r>
            </w:hyperlink>
          </w:p>
        </w:tc>
      </w:tr>
      <w:tr w:rsidR="001056B6" w:rsidRPr="009F43F3" w:rsidTr="009F43F3">
        <w:tc>
          <w:tcPr>
            <w:tcW w:w="3403" w:type="dxa"/>
          </w:tcPr>
          <w:p w:rsidR="001056B6" w:rsidRDefault="001056B6" w:rsidP="009F43F3">
            <w:pPr>
              <w:rPr>
                <w:rFonts w:ascii="Arial" w:hAnsi="Arial" w:cs="Arial"/>
              </w:rPr>
            </w:pPr>
            <w:r w:rsidRPr="001056B6">
              <w:rPr>
                <w:rFonts w:ascii="Arial" w:hAnsi="Arial" w:cs="Arial"/>
              </w:rPr>
              <w:t xml:space="preserve">ALK, ROS1 and MET testing in cell-free RNA and DNA for improved precision oncology </w:t>
            </w:r>
            <w:r w:rsidRPr="001056B6">
              <w:rPr>
                <w:rFonts w:ascii="Arial" w:hAnsi="Arial" w:cs="Arial"/>
              </w:rPr>
              <w:lastRenderedPageBreak/>
              <w:t xml:space="preserve">guided management of non-small </w:t>
            </w:r>
            <w:proofErr w:type="spellStart"/>
            <w:r w:rsidRPr="001056B6">
              <w:rPr>
                <w:rFonts w:ascii="Arial" w:hAnsi="Arial" w:cs="Arial"/>
              </w:rPr>
              <w:t>cell</w:t>
            </w:r>
            <w:proofErr w:type="spellEnd"/>
            <w:r w:rsidRPr="001056B6">
              <w:rPr>
                <w:rFonts w:ascii="Arial" w:hAnsi="Arial" w:cs="Arial"/>
              </w:rPr>
              <w:t xml:space="preserve"> </w:t>
            </w:r>
            <w:proofErr w:type="spellStart"/>
            <w:r w:rsidRPr="001056B6">
              <w:rPr>
                <w:rFonts w:ascii="Arial" w:hAnsi="Arial" w:cs="Arial"/>
              </w:rPr>
              <w:t>lung</w:t>
            </w:r>
            <w:proofErr w:type="spellEnd"/>
            <w:r w:rsidRPr="001056B6">
              <w:rPr>
                <w:rFonts w:ascii="Arial" w:hAnsi="Arial" w:cs="Arial"/>
              </w:rPr>
              <w:t xml:space="preserve"> </w:t>
            </w:r>
            <w:proofErr w:type="spellStart"/>
            <w:r w:rsidRPr="001056B6">
              <w:rPr>
                <w:rFonts w:ascii="Arial" w:hAnsi="Arial" w:cs="Arial"/>
              </w:rPr>
              <w:t>cancer</w:t>
            </w:r>
            <w:proofErr w:type="spellEnd"/>
            <w:r w:rsidRPr="001056B6">
              <w:rPr>
                <w:rFonts w:ascii="Arial" w:hAnsi="Arial" w:cs="Arial"/>
              </w:rPr>
              <w:t xml:space="preserve"> </w:t>
            </w:r>
            <w:proofErr w:type="spellStart"/>
            <w:r w:rsidRPr="001056B6">
              <w:rPr>
                <w:rFonts w:ascii="Arial" w:hAnsi="Arial" w:cs="Arial"/>
              </w:rPr>
              <w:t>patients</w:t>
            </w:r>
            <w:proofErr w:type="spellEnd"/>
          </w:p>
          <w:p w:rsidR="00333286" w:rsidRPr="00927460" w:rsidRDefault="00333286" w:rsidP="009F43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56B6" w:rsidRDefault="0033328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NA</w:t>
            </w:r>
          </w:p>
        </w:tc>
        <w:tc>
          <w:tcPr>
            <w:tcW w:w="1559" w:type="dxa"/>
          </w:tcPr>
          <w:p w:rsidR="001056B6" w:rsidRDefault="001056B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NSCLC</w:t>
            </w:r>
            <w:r>
              <w:rPr>
                <w:rFonts w:ascii="Arial" w:hAnsi="Arial" w:cs="Arial"/>
                <w:lang w:val="en-US"/>
              </w:rPr>
              <w:br/>
              <w:t xml:space="preserve">ROS, ALK </w:t>
            </w:r>
            <w:r>
              <w:rPr>
                <w:rFonts w:ascii="Arial" w:hAnsi="Arial" w:cs="Arial"/>
                <w:lang w:val="en-US"/>
              </w:rPr>
              <w:lastRenderedPageBreak/>
              <w:t>and MET mutations</w:t>
            </w:r>
          </w:p>
        </w:tc>
        <w:tc>
          <w:tcPr>
            <w:tcW w:w="1985" w:type="dxa"/>
          </w:tcPr>
          <w:p w:rsidR="001056B6" w:rsidRDefault="0033328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NA</w:t>
            </w:r>
          </w:p>
        </w:tc>
        <w:tc>
          <w:tcPr>
            <w:tcW w:w="4819" w:type="dxa"/>
          </w:tcPr>
          <w:p w:rsidR="001056B6" w:rsidRDefault="00333286" w:rsidP="00333286">
            <w:pPr>
              <w:rPr>
                <w:rFonts w:ascii="Arial" w:hAnsi="Arial" w:cs="Arial"/>
              </w:rPr>
            </w:pPr>
            <w:r w:rsidRPr="00333286">
              <w:rPr>
                <w:rFonts w:ascii="Arial" w:hAnsi="Arial" w:cs="Arial"/>
              </w:rPr>
              <w:t>The overall goal of the study is to assess the analytical performance to identify relevant mutations in A</w:t>
            </w:r>
            <w:r>
              <w:rPr>
                <w:rFonts w:ascii="Arial" w:hAnsi="Arial" w:cs="Arial"/>
              </w:rPr>
              <w:t xml:space="preserve">LK, ROS1 and MET in plasma </w:t>
            </w:r>
            <w:proofErr w:type="spellStart"/>
            <w:r>
              <w:rPr>
                <w:rFonts w:ascii="Arial" w:hAnsi="Arial" w:cs="Arial"/>
              </w:rPr>
              <w:lastRenderedPageBreak/>
              <w:t>from</w:t>
            </w:r>
            <w:proofErr w:type="spellEnd"/>
            <w:r>
              <w:rPr>
                <w:rFonts w:ascii="Arial" w:hAnsi="Arial" w:cs="Arial"/>
              </w:rPr>
              <w:t xml:space="preserve"> NSCLC</w:t>
            </w:r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patient</w:t>
            </w:r>
            <w:proofErr w:type="spellEnd"/>
            <w:r w:rsidRPr="00333286">
              <w:rPr>
                <w:rFonts w:ascii="Arial" w:hAnsi="Arial" w:cs="Arial"/>
              </w:rPr>
              <w:t xml:space="preserve">. Doing so, we want to provide a rationale for a cost-effective testing procedure for future Belgian NSCLC patients for sensitive and straightforward </w:t>
            </w:r>
            <w:proofErr w:type="spellStart"/>
            <w:r w:rsidRPr="00333286">
              <w:rPr>
                <w:rFonts w:ascii="Arial" w:hAnsi="Arial" w:cs="Arial"/>
              </w:rPr>
              <w:t>mutation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testing</w:t>
            </w:r>
            <w:proofErr w:type="spellEnd"/>
            <w:r w:rsidRPr="00333286">
              <w:rPr>
                <w:rFonts w:ascii="Arial" w:hAnsi="Arial" w:cs="Arial"/>
              </w:rPr>
              <w:t xml:space="preserve"> in </w:t>
            </w:r>
            <w:proofErr w:type="spellStart"/>
            <w:r w:rsidRPr="00333286">
              <w:rPr>
                <w:rFonts w:ascii="Arial" w:hAnsi="Arial" w:cs="Arial"/>
              </w:rPr>
              <w:t>easily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accessible</w:t>
            </w:r>
            <w:proofErr w:type="spellEnd"/>
            <w:r w:rsidRPr="00333286">
              <w:rPr>
                <w:rFonts w:ascii="Arial" w:hAnsi="Arial" w:cs="Arial"/>
              </w:rPr>
              <w:t xml:space="preserve"> </w:t>
            </w:r>
            <w:proofErr w:type="spellStart"/>
            <w:r w:rsidRPr="00333286">
              <w:rPr>
                <w:rFonts w:ascii="Arial" w:hAnsi="Arial" w:cs="Arial"/>
              </w:rPr>
              <w:t>blood</w:t>
            </w:r>
            <w:proofErr w:type="spellEnd"/>
            <w:r w:rsidRPr="00333286">
              <w:rPr>
                <w:rFonts w:ascii="Arial" w:hAnsi="Arial" w:cs="Arial"/>
              </w:rPr>
              <w:t xml:space="preserve"> samples.</w:t>
            </w:r>
          </w:p>
          <w:p w:rsidR="009B77BA" w:rsidRDefault="009B77BA" w:rsidP="003332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1056B6" w:rsidRPr="009F43F3" w:rsidRDefault="00333286" w:rsidP="009F43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/</w:t>
            </w:r>
          </w:p>
        </w:tc>
      </w:tr>
    </w:tbl>
    <w:p w:rsidR="000E0654" w:rsidRDefault="000E0654"/>
    <w:sectPr w:rsidR="000E0654" w:rsidSect="00DE1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FA"/>
    <w:multiLevelType w:val="hybridMultilevel"/>
    <w:tmpl w:val="AEAEE3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4"/>
    <w:rsid w:val="000E0654"/>
    <w:rsid w:val="001056B6"/>
    <w:rsid w:val="00333286"/>
    <w:rsid w:val="005628D3"/>
    <w:rsid w:val="00875DA5"/>
    <w:rsid w:val="009B77BA"/>
    <w:rsid w:val="009F43F3"/>
    <w:rsid w:val="00BA1032"/>
    <w:rsid w:val="00D815E3"/>
    <w:rsid w:val="00DE1539"/>
    <w:rsid w:val="00E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D4577-A951-425F-8E8C-1A14693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065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E1539"/>
    <w:rPr>
      <w:strike w:val="0"/>
      <w:dstrike w:val="0"/>
      <w:color w:val="1A3D8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icaltrials.gov/show/NCT03626545" TargetMode="External"/><Relationship Id="rId5" Type="http://schemas.openxmlformats.org/officeDocument/2006/relationships/hyperlink" Target="https://clinicaltrials.gov/show/NCT03425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Nikolaas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Camp</dc:creator>
  <cp:keywords/>
  <dc:description/>
  <cp:lastModifiedBy>Karin Mercelis</cp:lastModifiedBy>
  <cp:revision>2</cp:revision>
  <dcterms:created xsi:type="dcterms:W3CDTF">2019-09-04T11:29:00Z</dcterms:created>
  <dcterms:modified xsi:type="dcterms:W3CDTF">2019-09-04T11:29:00Z</dcterms:modified>
</cp:coreProperties>
</file>