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476" w:rsidRPr="001056B6" w:rsidRDefault="000E0654" w:rsidP="001056B6">
      <w:pPr>
        <w:spacing w:after="0" w:line="240" w:lineRule="auto"/>
        <w:rPr>
          <w:rFonts w:ascii="Arial" w:hAnsi="Arial" w:cs="Arial"/>
          <w:b/>
          <w:sz w:val="28"/>
          <w:szCs w:val="28"/>
          <w:lang w:val="en-US"/>
        </w:rPr>
      </w:pPr>
      <w:r w:rsidRPr="001056B6">
        <w:rPr>
          <w:rFonts w:ascii="Arial" w:hAnsi="Arial" w:cs="Arial"/>
          <w:b/>
          <w:sz w:val="28"/>
          <w:szCs w:val="28"/>
          <w:lang w:val="en-US"/>
        </w:rPr>
        <w:t>Actieve studies</w:t>
      </w:r>
    </w:p>
    <w:p w:rsidR="000E0654" w:rsidRDefault="000E0654"/>
    <w:tbl>
      <w:tblPr>
        <w:tblStyle w:val="Tabelraster"/>
        <w:tblW w:w="1474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134"/>
        <w:gridCol w:w="1559"/>
        <w:gridCol w:w="1985"/>
        <w:gridCol w:w="4819"/>
        <w:gridCol w:w="1843"/>
      </w:tblGrid>
      <w:tr w:rsidR="009F43F3" w:rsidTr="009F43F3">
        <w:tc>
          <w:tcPr>
            <w:tcW w:w="3403" w:type="dxa"/>
          </w:tcPr>
          <w:p w:rsidR="009F43F3" w:rsidRPr="00DE1539" w:rsidRDefault="009F43F3" w:rsidP="009F43F3">
            <w:pPr>
              <w:rPr>
                <w:rFonts w:ascii="Arial" w:hAnsi="Arial" w:cs="Arial"/>
                <w:lang w:val="en-US"/>
              </w:rPr>
            </w:pPr>
            <w:r w:rsidRPr="00DE1539">
              <w:rPr>
                <w:rFonts w:ascii="Arial" w:hAnsi="Arial" w:cs="Arial"/>
                <w:lang w:val="en-US"/>
              </w:rPr>
              <w:t>Title</w:t>
            </w:r>
          </w:p>
        </w:tc>
        <w:tc>
          <w:tcPr>
            <w:tcW w:w="1134" w:type="dxa"/>
          </w:tcPr>
          <w:p w:rsidR="009F43F3" w:rsidRPr="00DE1539" w:rsidRDefault="009F43F3" w:rsidP="009F43F3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Phase</w:t>
            </w:r>
          </w:p>
        </w:tc>
        <w:tc>
          <w:tcPr>
            <w:tcW w:w="1559" w:type="dxa"/>
          </w:tcPr>
          <w:p w:rsidR="009F43F3" w:rsidRPr="00DE1539" w:rsidRDefault="009F43F3" w:rsidP="009F43F3">
            <w:pPr>
              <w:rPr>
                <w:rFonts w:ascii="Arial" w:hAnsi="Arial" w:cs="Arial"/>
                <w:lang w:val="en-US"/>
              </w:rPr>
            </w:pPr>
            <w:proofErr w:type="spellStart"/>
            <w:r w:rsidRPr="00DE1539">
              <w:rPr>
                <w:rFonts w:ascii="Arial" w:hAnsi="Arial" w:cs="Arial"/>
                <w:lang w:val="en-US"/>
              </w:rPr>
              <w:t>Tumortype</w:t>
            </w:r>
            <w:proofErr w:type="spellEnd"/>
          </w:p>
        </w:tc>
        <w:tc>
          <w:tcPr>
            <w:tcW w:w="1985" w:type="dxa"/>
          </w:tcPr>
          <w:p w:rsidR="009F43F3" w:rsidRPr="00DE1539" w:rsidRDefault="009F43F3" w:rsidP="009F43F3">
            <w:pPr>
              <w:rPr>
                <w:rFonts w:ascii="Arial" w:hAnsi="Arial" w:cs="Arial"/>
                <w:lang w:val="en-US"/>
              </w:rPr>
            </w:pPr>
            <w:r w:rsidRPr="00DE1539">
              <w:rPr>
                <w:rFonts w:ascii="Arial" w:hAnsi="Arial" w:cs="Arial"/>
                <w:lang w:val="en-US"/>
              </w:rPr>
              <w:t>Line of Therapy</w:t>
            </w:r>
          </w:p>
        </w:tc>
        <w:tc>
          <w:tcPr>
            <w:tcW w:w="4819" w:type="dxa"/>
          </w:tcPr>
          <w:p w:rsidR="009F43F3" w:rsidRPr="00DE1539" w:rsidRDefault="009F43F3" w:rsidP="009F43F3">
            <w:pPr>
              <w:rPr>
                <w:rFonts w:ascii="Arial" w:hAnsi="Arial" w:cs="Arial"/>
                <w:lang w:val="en-US"/>
              </w:rPr>
            </w:pPr>
            <w:r w:rsidRPr="00DE1539">
              <w:rPr>
                <w:rFonts w:ascii="Arial" w:hAnsi="Arial" w:cs="Arial"/>
                <w:lang w:val="en-US"/>
              </w:rPr>
              <w:t>Study Information</w:t>
            </w:r>
          </w:p>
        </w:tc>
        <w:tc>
          <w:tcPr>
            <w:tcW w:w="1843" w:type="dxa"/>
          </w:tcPr>
          <w:p w:rsidR="009F43F3" w:rsidRPr="00DE1539" w:rsidRDefault="009F43F3" w:rsidP="009F43F3">
            <w:pPr>
              <w:rPr>
                <w:rFonts w:ascii="Arial" w:hAnsi="Arial" w:cs="Arial"/>
                <w:lang w:val="en-US"/>
              </w:rPr>
            </w:pPr>
            <w:r w:rsidRPr="00DE1539">
              <w:rPr>
                <w:rFonts w:ascii="Arial" w:hAnsi="Arial" w:cs="Arial"/>
                <w:lang w:val="en-US"/>
              </w:rPr>
              <w:t>Register</w:t>
            </w:r>
          </w:p>
        </w:tc>
      </w:tr>
      <w:tr w:rsidR="009F43F3" w:rsidTr="009F43F3">
        <w:tc>
          <w:tcPr>
            <w:tcW w:w="3403" w:type="dxa"/>
          </w:tcPr>
          <w:p w:rsidR="009F43F3" w:rsidRDefault="009F43F3" w:rsidP="009F43F3">
            <w:pPr>
              <w:rPr>
                <w:rFonts w:ascii="Arial" w:hAnsi="Arial" w:cs="Arial"/>
                <w:lang w:val="en-US"/>
              </w:rPr>
            </w:pPr>
            <w:r w:rsidRPr="000721FA">
              <w:rPr>
                <w:rFonts w:ascii="Arial" w:hAnsi="Arial" w:cs="Arial"/>
                <w:lang w:val="en-US"/>
              </w:rPr>
              <w:t>First-line immunotherapy using Wilms’ tumor protein 1 (WT1)-targeted dendritic cell vaccinations for malignant pleural mesothelioma</w:t>
            </w:r>
          </w:p>
          <w:p w:rsidR="00750D43" w:rsidRDefault="00750D43" w:rsidP="009F43F3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(MESODEC)</w:t>
            </w:r>
          </w:p>
          <w:p w:rsidR="009F43F3" w:rsidRPr="00DE1539" w:rsidRDefault="009F43F3" w:rsidP="009F43F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</w:tcPr>
          <w:p w:rsidR="009F43F3" w:rsidRPr="00DE1539" w:rsidRDefault="009F43F3" w:rsidP="009F43F3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I/II</w:t>
            </w:r>
          </w:p>
        </w:tc>
        <w:tc>
          <w:tcPr>
            <w:tcW w:w="1559" w:type="dxa"/>
          </w:tcPr>
          <w:p w:rsidR="009F43F3" w:rsidRPr="00DE1539" w:rsidRDefault="009F43F3" w:rsidP="009F43F3">
            <w:pPr>
              <w:rPr>
                <w:rFonts w:ascii="Arial" w:hAnsi="Arial" w:cs="Arial"/>
                <w:lang w:val="en-US"/>
              </w:rPr>
            </w:pPr>
            <w:r w:rsidRPr="00DE1539">
              <w:rPr>
                <w:rFonts w:ascii="Arial" w:hAnsi="Arial" w:cs="Arial"/>
                <w:lang w:val="en-US"/>
              </w:rPr>
              <w:t>MPM</w:t>
            </w:r>
          </w:p>
        </w:tc>
        <w:tc>
          <w:tcPr>
            <w:tcW w:w="1985" w:type="dxa"/>
          </w:tcPr>
          <w:p w:rsidR="009F43F3" w:rsidRPr="00DE1539" w:rsidRDefault="009F43F3" w:rsidP="009F43F3">
            <w:pPr>
              <w:rPr>
                <w:rFonts w:ascii="Arial" w:hAnsi="Arial" w:cs="Arial"/>
                <w:lang w:val="en-US"/>
              </w:rPr>
            </w:pPr>
            <w:r w:rsidRPr="00DE1539">
              <w:rPr>
                <w:rFonts w:ascii="Arial" w:hAnsi="Arial" w:cs="Arial"/>
                <w:lang w:val="en-US"/>
              </w:rPr>
              <w:t>1L</w:t>
            </w:r>
          </w:p>
        </w:tc>
        <w:tc>
          <w:tcPr>
            <w:tcW w:w="4819" w:type="dxa"/>
          </w:tcPr>
          <w:p w:rsidR="009F43F3" w:rsidRPr="00DE1539" w:rsidRDefault="009F43F3" w:rsidP="009F43F3">
            <w:pPr>
              <w:pStyle w:val="Lijstalinea"/>
              <w:numPr>
                <w:ilvl w:val="0"/>
                <w:numId w:val="1"/>
              </w:numPr>
              <w:ind w:left="469"/>
              <w:rPr>
                <w:rFonts w:ascii="Arial" w:hAnsi="Arial" w:cs="Arial"/>
                <w:lang w:val="en-US"/>
              </w:rPr>
            </w:pPr>
            <w:proofErr w:type="spellStart"/>
            <w:r w:rsidRPr="00DE1539">
              <w:rPr>
                <w:rFonts w:ascii="Arial" w:hAnsi="Arial" w:cs="Arial"/>
                <w:lang w:val="en-US"/>
              </w:rPr>
              <w:t>Epitheloid</w:t>
            </w:r>
            <w:proofErr w:type="spellEnd"/>
            <w:r w:rsidRPr="00DE1539">
              <w:rPr>
                <w:rFonts w:ascii="Arial" w:hAnsi="Arial" w:cs="Arial"/>
                <w:lang w:val="en-US"/>
              </w:rPr>
              <w:t xml:space="preserve"> mesothelioma</w:t>
            </w:r>
          </w:p>
          <w:p w:rsidR="009F43F3" w:rsidRPr="00DE1539" w:rsidRDefault="00EC4541" w:rsidP="009F43F3">
            <w:pPr>
              <w:pStyle w:val="Lijstalinea"/>
              <w:numPr>
                <w:ilvl w:val="0"/>
                <w:numId w:val="1"/>
              </w:numPr>
              <w:ind w:left="469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Q3W: </w:t>
            </w:r>
            <w:proofErr w:type="spellStart"/>
            <w:r w:rsidR="009F43F3" w:rsidRPr="00DE1539">
              <w:rPr>
                <w:rFonts w:ascii="Arial" w:hAnsi="Arial" w:cs="Arial"/>
                <w:lang w:val="en-US"/>
              </w:rPr>
              <w:t>Pemetrexed</w:t>
            </w:r>
            <w:proofErr w:type="spellEnd"/>
            <w:r w:rsidR="009F43F3" w:rsidRPr="00DE1539">
              <w:rPr>
                <w:rFonts w:ascii="Arial" w:hAnsi="Arial" w:cs="Arial"/>
                <w:lang w:val="en-US"/>
              </w:rPr>
              <w:t xml:space="preserve"> + </w:t>
            </w:r>
            <w:proofErr w:type="spellStart"/>
            <w:r>
              <w:rPr>
                <w:rFonts w:ascii="Arial" w:hAnsi="Arial" w:cs="Arial"/>
                <w:lang w:val="en-US"/>
              </w:rPr>
              <w:t>C</w:t>
            </w:r>
            <w:r w:rsidR="009F43F3" w:rsidRPr="00DE1539">
              <w:rPr>
                <w:rFonts w:ascii="Arial" w:hAnsi="Arial" w:cs="Arial"/>
                <w:lang w:val="en-US"/>
              </w:rPr>
              <w:t>isplatinum</w:t>
            </w:r>
            <w:proofErr w:type="spellEnd"/>
            <w:r w:rsidR="009F43F3" w:rsidRPr="00DE1539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br/>
            </w:r>
            <w:r w:rsidR="009F43F3" w:rsidRPr="00DE1539">
              <w:rPr>
                <w:rFonts w:ascii="Arial" w:hAnsi="Arial" w:cs="Arial"/>
                <w:lang w:val="en-US"/>
              </w:rPr>
              <w:t xml:space="preserve">+ DC vaccination </w:t>
            </w:r>
          </w:p>
          <w:p w:rsidR="009F43F3" w:rsidRPr="00DE1539" w:rsidRDefault="009F43F3" w:rsidP="009F43F3">
            <w:pPr>
              <w:pStyle w:val="Lijstalinea"/>
              <w:numPr>
                <w:ilvl w:val="0"/>
                <w:numId w:val="1"/>
              </w:numPr>
              <w:ind w:left="469"/>
              <w:rPr>
                <w:rFonts w:ascii="Arial" w:hAnsi="Arial" w:cs="Arial"/>
                <w:lang w:val="en-US"/>
              </w:rPr>
            </w:pPr>
            <w:r w:rsidRPr="00DE1539">
              <w:rPr>
                <w:rFonts w:ascii="Arial" w:hAnsi="Arial" w:cs="Arial"/>
                <w:lang w:val="en-US"/>
              </w:rPr>
              <w:t>Ongoing DC vaccination Q4W</w:t>
            </w:r>
          </w:p>
        </w:tc>
        <w:tc>
          <w:tcPr>
            <w:tcW w:w="1843" w:type="dxa"/>
          </w:tcPr>
          <w:p w:rsidR="009F43F3" w:rsidRPr="00DE1539" w:rsidRDefault="009F43F3" w:rsidP="009F43F3">
            <w:pPr>
              <w:rPr>
                <w:rFonts w:ascii="Arial" w:hAnsi="Arial" w:cs="Arial"/>
                <w:lang w:val="en-US"/>
              </w:rPr>
            </w:pPr>
            <w:r w:rsidRPr="00DE1539">
              <w:rPr>
                <w:rFonts w:ascii="Arial" w:hAnsi="Arial" w:cs="Arial"/>
                <w:lang w:val="en-US"/>
              </w:rPr>
              <w:t>NCT02649829</w:t>
            </w:r>
          </w:p>
        </w:tc>
      </w:tr>
      <w:tr w:rsidR="009F43F3" w:rsidTr="009F43F3">
        <w:tc>
          <w:tcPr>
            <w:tcW w:w="3403" w:type="dxa"/>
          </w:tcPr>
          <w:p w:rsidR="009F43F3" w:rsidRDefault="009F43F3" w:rsidP="009F43F3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A Phase III, Randomized, Double-blind Trial of Platinum Doublet Chemotherapy +/- </w:t>
            </w:r>
            <w:proofErr w:type="spellStart"/>
            <w:r>
              <w:rPr>
                <w:rFonts w:ascii="Arial" w:hAnsi="Arial" w:cs="Arial"/>
                <w:lang w:val="en-US"/>
              </w:rPr>
              <w:t>Pembrolizumab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(MK-3475) as </w:t>
            </w:r>
            <w:proofErr w:type="spellStart"/>
            <w:r>
              <w:rPr>
                <w:rFonts w:ascii="Arial" w:hAnsi="Arial" w:cs="Arial"/>
                <w:lang w:val="en-US"/>
              </w:rPr>
              <w:t>Neoadjuvant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/Adjuvant Therapy for Participants with </w:t>
            </w:r>
            <w:proofErr w:type="spellStart"/>
            <w:r>
              <w:rPr>
                <w:rFonts w:ascii="Arial" w:hAnsi="Arial" w:cs="Arial"/>
                <w:lang w:val="en-US"/>
              </w:rPr>
              <w:t>Resectable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Stage IIB or IIIA Non-Small Cell Lung Cancer (NSCLC) (KEYNOTE-671)</w:t>
            </w:r>
          </w:p>
          <w:p w:rsidR="009F43F3" w:rsidRPr="000721FA" w:rsidRDefault="009F43F3" w:rsidP="009F43F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</w:tcPr>
          <w:p w:rsidR="009F43F3" w:rsidRPr="00DE1539" w:rsidRDefault="009F43F3" w:rsidP="009F43F3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III</w:t>
            </w:r>
          </w:p>
        </w:tc>
        <w:tc>
          <w:tcPr>
            <w:tcW w:w="1559" w:type="dxa"/>
          </w:tcPr>
          <w:p w:rsidR="009F43F3" w:rsidRPr="00DE1539" w:rsidRDefault="009F43F3" w:rsidP="009F43F3">
            <w:pPr>
              <w:rPr>
                <w:rFonts w:ascii="Arial" w:hAnsi="Arial" w:cs="Arial"/>
                <w:lang w:val="en-US"/>
              </w:rPr>
            </w:pPr>
            <w:r w:rsidRPr="00DE1539">
              <w:rPr>
                <w:rFonts w:ascii="Arial" w:hAnsi="Arial" w:cs="Arial"/>
                <w:lang w:val="en-US"/>
              </w:rPr>
              <w:t>NSCLC</w:t>
            </w:r>
          </w:p>
          <w:p w:rsidR="009F43F3" w:rsidRPr="00DE1539" w:rsidRDefault="008771EE" w:rsidP="008771EE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Stage II, </w:t>
            </w:r>
            <w:r w:rsidR="009F43F3" w:rsidRPr="00DE1539">
              <w:rPr>
                <w:rFonts w:ascii="Arial" w:hAnsi="Arial" w:cs="Arial"/>
                <w:lang w:val="en-US"/>
              </w:rPr>
              <w:t>IIIA</w:t>
            </w:r>
            <w:r>
              <w:rPr>
                <w:rFonts w:ascii="Arial" w:hAnsi="Arial" w:cs="Arial"/>
                <w:lang w:val="en-US"/>
              </w:rPr>
              <w:t xml:space="preserve"> or IIIB</w:t>
            </w:r>
          </w:p>
        </w:tc>
        <w:tc>
          <w:tcPr>
            <w:tcW w:w="1985" w:type="dxa"/>
          </w:tcPr>
          <w:p w:rsidR="009F43F3" w:rsidRDefault="009F43F3" w:rsidP="009F43F3">
            <w:pPr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Neoadjuvant</w:t>
            </w:r>
            <w:proofErr w:type="spellEnd"/>
            <w:r>
              <w:rPr>
                <w:rFonts w:ascii="Arial" w:hAnsi="Arial" w:cs="Arial"/>
                <w:lang w:val="en-US"/>
              </w:rPr>
              <w:t>/</w:t>
            </w:r>
          </w:p>
          <w:p w:rsidR="009F43F3" w:rsidRPr="00DE1539" w:rsidRDefault="009F43F3" w:rsidP="009F43F3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Adjuvant</w:t>
            </w:r>
          </w:p>
        </w:tc>
        <w:tc>
          <w:tcPr>
            <w:tcW w:w="4819" w:type="dxa"/>
          </w:tcPr>
          <w:p w:rsidR="009F43F3" w:rsidRPr="00DE1539" w:rsidRDefault="009F43F3" w:rsidP="009F43F3">
            <w:pPr>
              <w:pStyle w:val="Lijstalinea"/>
              <w:numPr>
                <w:ilvl w:val="0"/>
                <w:numId w:val="1"/>
              </w:numPr>
              <w:ind w:left="469"/>
              <w:rPr>
                <w:rFonts w:ascii="Arial" w:hAnsi="Arial" w:cs="Arial"/>
                <w:lang w:val="en-US"/>
              </w:rPr>
            </w:pPr>
            <w:proofErr w:type="spellStart"/>
            <w:r w:rsidRPr="00DE1539">
              <w:rPr>
                <w:rFonts w:ascii="Arial" w:hAnsi="Arial" w:cs="Arial"/>
                <w:lang w:val="en-US"/>
              </w:rPr>
              <w:t>Neoadjuvant</w:t>
            </w:r>
            <w:proofErr w:type="spellEnd"/>
            <w:r w:rsidRPr="00DE1539">
              <w:rPr>
                <w:rFonts w:ascii="Arial" w:hAnsi="Arial" w:cs="Arial"/>
                <w:lang w:val="en-US"/>
              </w:rPr>
              <w:t xml:space="preserve"> Q3W: </w:t>
            </w:r>
            <w:proofErr w:type="spellStart"/>
            <w:r w:rsidRPr="00DE1539">
              <w:rPr>
                <w:rFonts w:ascii="Arial" w:hAnsi="Arial" w:cs="Arial"/>
                <w:lang w:val="en-US"/>
              </w:rPr>
              <w:t>Pembrolizumab</w:t>
            </w:r>
            <w:proofErr w:type="spellEnd"/>
            <w:r w:rsidRPr="00DE1539">
              <w:rPr>
                <w:rFonts w:ascii="Arial" w:hAnsi="Arial" w:cs="Arial"/>
                <w:lang w:val="en-US"/>
              </w:rPr>
              <w:t>/Placebo + Gemcitabine/</w:t>
            </w:r>
            <w:proofErr w:type="spellStart"/>
            <w:r w:rsidRPr="00DE1539">
              <w:rPr>
                <w:rFonts w:ascii="Arial" w:hAnsi="Arial" w:cs="Arial"/>
                <w:lang w:val="en-US"/>
              </w:rPr>
              <w:t>Pemetrexed</w:t>
            </w:r>
            <w:proofErr w:type="spellEnd"/>
            <w:r w:rsidRPr="00DE1539">
              <w:rPr>
                <w:rFonts w:ascii="Arial" w:hAnsi="Arial" w:cs="Arial"/>
                <w:lang w:val="en-US"/>
              </w:rPr>
              <w:t xml:space="preserve"> + </w:t>
            </w:r>
            <w:proofErr w:type="spellStart"/>
            <w:r w:rsidRPr="00DE1539">
              <w:rPr>
                <w:rFonts w:ascii="Arial" w:hAnsi="Arial" w:cs="Arial"/>
                <w:lang w:val="en-US"/>
              </w:rPr>
              <w:t>Cisplatinum</w:t>
            </w:r>
            <w:proofErr w:type="spellEnd"/>
          </w:p>
          <w:p w:rsidR="009F43F3" w:rsidRPr="00DE1539" w:rsidRDefault="009F43F3" w:rsidP="009F43F3">
            <w:pPr>
              <w:pStyle w:val="Lijstalinea"/>
              <w:numPr>
                <w:ilvl w:val="0"/>
                <w:numId w:val="1"/>
              </w:numPr>
              <w:ind w:left="469"/>
              <w:rPr>
                <w:rFonts w:ascii="Arial" w:hAnsi="Arial" w:cs="Arial"/>
                <w:lang w:val="en-US"/>
              </w:rPr>
            </w:pPr>
            <w:r w:rsidRPr="00DE1539">
              <w:rPr>
                <w:rFonts w:ascii="Arial" w:hAnsi="Arial" w:cs="Arial"/>
                <w:lang w:val="en-US"/>
              </w:rPr>
              <w:t>Adjuvant Q3W:</w:t>
            </w:r>
            <w:r w:rsidRPr="00DE1539">
              <w:rPr>
                <w:rFonts w:ascii="Arial" w:hAnsi="Arial" w:cs="Arial"/>
                <w:lang w:val="en-US"/>
              </w:rPr>
              <w:br/>
            </w:r>
            <w:proofErr w:type="spellStart"/>
            <w:r w:rsidRPr="00DE1539">
              <w:rPr>
                <w:rFonts w:ascii="Arial" w:hAnsi="Arial" w:cs="Arial"/>
                <w:lang w:val="en-US"/>
              </w:rPr>
              <w:t>Pembrolizumab</w:t>
            </w:r>
            <w:proofErr w:type="spellEnd"/>
            <w:r w:rsidRPr="00DE1539">
              <w:rPr>
                <w:rFonts w:ascii="Arial" w:hAnsi="Arial" w:cs="Arial"/>
                <w:lang w:val="en-US"/>
              </w:rPr>
              <w:t>/Placebo</w:t>
            </w:r>
          </w:p>
        </w:tc>
        <w:tc>
          <w:tcPr>
            <w:tcW w:w="1843" w:type="dxa"/>
          </w:tcPr>
          <w:p w:rsidR="009F43F3" w:rsidRPr="00DE1539" w:rsidRDefault="000751E1" w:rsidP="009F43F3">
            <w:pPr>
              <w:rPr>
                <w:rFonts w:ascii="Arial" w:hAnsi="Arial" w:cs="Arial"/>
                <w:lang w:val="en-US"/>
              </w:rPr>
            </w:pPr>
            <w:hyperlink r:id="rId5" w:tooltip="Current version of study NCT03425643 on ClinicalTrials.gov" w:history="1">
              <w:r w:rsidR="009F43F3" w:rsidRPr="00DE1539">
                <w:rPr>
                  <w:rFonts w:ascii="Arial" w:hAnsi="Arial" w:cs="Arial"/>
                  <w:lang w:val="en-US"/>
                </w:rPr>
                <w:t>NCT03425643</w:t>
              </w:r>
            </w:hyperlink>
          </w:p>
        </w:tc>
      </w:tr>
      <w:tr w:rsidR="001056B6" w:rsidRPr="009F43F3" w:rsidTr="009F43F3">
        <w:tc>
          <w:tcPr>
            <w:tcW w:w="3403" w:type="dxa"/>
          </w:tcPr>
          <w:p w:rsidR="001056B6" w:rsidRDefault="001056B6" w:rsidP="009F43F3">
            <w:pPr>
              <w:rPr>
                <w:rFonts w:ascii="Arial" w:hAnsi="Arial" w:cs="Arial"/>
              </w:rPr>
            </w:pPr>
            <w:r w:rsidRPr="001056B6">
              <w:rPr>
                <w:rFonts w:ascii="Arial" w:hAnsi="Arial" w:cs="Arial"/>
              </w:rPr>
              <w:t xml:space="preserve">ALK, ROS1 </w:t>
            </w:r>
            <w:proofErr w:type="spellStart"/>
            <w:r w:rsidRPr="001056B6">
              <w:rPr>
                <w:rFonts w:ascii="Arial" w:hAnsi="Arial" w:cs="Arial"/>
              </w:rPr>
              <w:t>and</w:t>
            </w:r>
            <w:proofErr w:type="spellEnd"/>
            <w:r w:rsidRPr="001056B6">
              <w:rPr>
                <w:rFonts w:ascii="Arial" w:hAnsi="Arial" w:cs="Arial"/>
              </w:rPr>
              <w:t xml:space="preserve"> MET </w:t>
            </w:r>
            <w:proofErr w:type="spellStart"/>
            <w:r w:rsidRPr="001056B6">
              <w:rPr>
                <w:rFonts w:ascii="Arial" w:hAnsi="Arial" w:cs="Arial"/>
              </w:rPr>
              <w:t>testing</w:t>
            </w:r>
            <w:proofErr w:type="spellEnd"/>
            <w:r w:rsidRPr="001056B6">
              <w:rPr>
                <w:rFonts w:ascii="Arial" w:hAnsi="Arial" w:cs="Arial"/>
              </w:rPr>
              <w:t xml:space="preserve"> in cell-free RNA and DNA for improved precision oncology guided management of non-small </w:t>
            </w:r>
            <w:proofErr w:type="spellStart"/>
            <w:r w:rsidRPr="001056B6">
              <w:rPr>
                <w:rFonts w:ascii="Arial" w:hAnsi="Arial" w:cs="Arial"/>
              </w:rPr>
              <w:t>cell</w:t>
            </w:r>
            <w:proofErr w:type="spellEnd"/>
            <w:r w:rsidRPr="001056B6">
              <w:rPr>
                <w:rFonts w:ascii="Arial" w:hAnsi="Arial" w:cs="Arial"/>
              </w:rPr>
              <w:t xml:space="preserve"> </w:t>
            </w:r>
            <w:proofErr w:type="spellStart"/>
            <w:r w:rsidRPr="001056B6">
              <w:rPr>
                <w:rFonts w:ascii="Arial" w:hAnsi="Arial" w:cs="Arial"/>
              </w:rPr>
              <w:t>lung</w:t>
            </w:r>
            <w:proofErr w:type="spellEnd"/>
            <w:r w:rsidRPr="001056B6">
              <w:rPr>
                <w:rFonts w:ascii="Arial" w:hAnsi="Arial" w:cs="Arial"/>
              </w:rPr>
              <w:t xml:space="preserve"> </w:t>
            </w:r>
            <w:proofErr w:type="spellStart"/>
            <w:r w:rsidRPr="001056B6">
              <w:rPr>
                <w:rFonts w:ascii="Arial" w:hAnsi="Arial" w:cs="Arial"/>
              </w:rPr>
              <w:t>cancer</w:t>
            </w:r>
            <w:proofErr w:type="spellEnd"/>
            <w:r w:rsidRPr="001056B6">
              <w:rPr>
                <w:rFonts w:ascii="Arial" w:hAnsi="Arial" w:cs="Arial"/>
              </w:rPr>
              <w:t xml:space="preserve"> </w:t>
            </w:r>
            <w:proofErr w:type="spellStart"/>
            <w:r w:rsidRPr="001056B6">
              <w:rPr>
                <w:rFonts w:ascii="Arial" w:hAnsi="Arial" w:cs="Arial"/>
              </w:rPr>
              <w:t>patients</w:t>
            </w:r>
            <w:proofErr w:type="spellEnd"/>
          </w:p>
          <w:p w:rsidR="00750D43" w:rsidRDefault="00750D43" w:rsidP="009F43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(LONG 18-05)</w:t>
            </w:r>
          </w:p>
          <w:p w:rsidR="00333286" w:rsidRPr="00927460" w:rsidRDefault="00333286" w:rsidP="009F43F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056B6" w:rsidRDefault="00333286" w:rsidP="009F43F3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NA</w:t>
            </w:r>
          </w:p>
        </w:tc>
        <w:tc>
          <w:tcPr>
            <w:tcW w:w="1559" w:type="dxa"/>
          </w:tcPr>
          <w:p w:rsidR="001056B6" w:rsidRDefault="001056B6" w:rsidP="009F43F3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NSCLC</w:t>
            </w:r>
            <w:r>
              <w:rPr>
                <w:rFonts w:ascii="Arial" w:hAnsi="Arial" w:cs="Arial"/>
                <w:lang w:val="en-US"/>
              </w:rPr>
              <w:br/>
              <w:t>ROS, ALK and MET mutations</w:t>
            </w:r>
          </w:p>
        </w:tc>
        <w:tc>
          <w:tcPr>
            <w:tcW w:w="1985" w:type="dxa"/>
          </w:tcPr>
          <w:p w:rsidR="001056B6" w:rsidRDefault="00333286" w:rsidP="009F43F3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NA</w:t>
            </w:r>
          </w:p>
        </w:tc>
        <w:tc>
          <w:tcPr>
            <w:tcW w:w="4819" w:type="dxa"/>
          </w:tcPr>
          <w:p w:rsidR="001056B6" w:rsidRDefault="00333286" w:rsidP="00333286">
            <w:pPr>
              <w:rPr>
                <w:rFonts w:ascii="Arial" w:hAnsi="Arial" w:cs="Arial"/>
              </w:rPr>
            </w:pPr>
            <w:r w:rsidRPr="00333286">
              <w:rPr>
                <w:rFonts w:ascii="Arial" w:hAnsi="Arial" w:cs="Arial"/>
              </w:rPr>
              <w:t>The overall goal of the study is to assess the analytical performance to identify relevant mutations in A</w:t>
            </w:r>
            <w:r>
              <w:rPr>
                <w:rFonts w:ascii="Arial" w:hAnsi="Arial" w:cs="Arial"/>
              </w:rPr>
              <w:t xml:space="preserve">LK, ROS1 and MET in plasma </w:t>
            </w:r>
            <w:proofErr w:type="spellStart"/>
            <w:r>
              <w:rPr>
                <w:rFonts w:ascii="Arial" w:hAnsi="Arial" w:cs="Arial"/>
              </w:rPr>
              <w:t>from</w:t>
            </w:r>
            <w:proofErr w:type="spellEnd"/>
            <w:r>
              <w:rPr>
                <w:rFonts w:ascii="Arial" w:hAnsi="Arial" w:cs="Arial"/>
              </w:rPr>
              <w:t xml:space="preserve"> NSCLC</w:t>
            </w:r>
            <w:r w:rsidRPr="00333286">
              <w:rPr>
                <w:rFonts w:ascii="Arial" w:hAnsi="Arial" w:cs="Arial"/>
              </w:rPr>
              <w:t xml:space="preserve"> </w:t>
            </w:r>
            <w:proofErr w:type="spellStart"/>
            <w:r w:rsidRPr="00333286">
              <w:rPr>
                <w:rFonts w:ascii="Arial" w:hAnsi="Arial" w:cs="Arial"/>
              </w:rPr>
              <w:t>patient</w:t>
            </w:r>
            <w:proofErr w:type="spellEnd"/>
            <w:r w:rsidRPr="00333286">
              <w:rPr>
                <w:rFonts w:ascii="Arial" w:hAnsi="Arial" w:cs="Arial"/>
              </w:rPr>
              <w:t xml:space="preserve">. Doing so, we want to provide a rationale for a cost-effective testing procedure for future Belgian NSCLC </w:t>
            </w:r>
            <w:proofErr w:type="spellStart"/>
            <w:r w:rsidRPr="00333286">
              <w:rPr>
                <w:rFonts w:ascii="Arial" w:hAnsi="Arial" w:cs="Arial"/>
              </w:rPr>
              <w:t>patients</w:t>
            </w:r>
            <w:proofErr w:type="spellEnd"/>
            <w:r w:rsidRPr="00333286">
              <w:rPr>
                <w:rFonts w:ascii="Arial" w:hAnsi="Arial" w:cs="Arial"/>
              </w:rPr>
              <w:t xml:space="preserve"> </w:t>
            </w:r>
            <w:proofErr w:type="spellStart"/>
            <w:r w:rsidRPr="00333286">
              <w:rPr>
                <w:rFonts w:ascii="Arial" w:hAnsi="Arial" w:cs="Arial"/>
              </w:rPr>
              <w:t>for</w:t>
            </w:r>
            <w:proofErr w:type="spellEnd"/>
            <w:r w:rsidRPr="00333286">
              <w:rPr>
                <w:rFonts w:ascii="Arial" w:hAnsi="Arial" w:cs="Arial"/>
              </w:rPr>
              <w:t xml:space="preserve"> </w:t>
            </w:r>
            <w:proofErr w:type="spellStart"/>
            <w:r w:rsidRPr="00333286">
              <w:rPr>
                <w:rFonts w:ascii="Arial" w:hAnsi="Arial" w:cs="Arial"/>
              </w:rPr>
              <w:t>sensitive</w:t>
            </w:r>
            <w:proofErr w:type="spellEnd"/>
            <w:r w:rsidRPr="00333286">
              <w:rPr>
                <w:rFonts w:ascii="Arial" w:hAnsi="Arial" w:cs="Arial"/>
              </w:rPr>
              <w:t xml:space="preserve"> </w:t>
            </w:r>
            <w:proofErr w:type="spellStart"/>
            <w:r w:rsidRPr="00333286">
              <w:rPr>
                <w:rFonts w:ascii="Arial" w:hAnsi="Arial" w:cs="Arial"/>
              </w:rPr>
              <w:t>and</w:t>
            </w:r>
            <w:proofErr w:type="spellEnd"/>
            <w:r w:rsidRPr="00333286">
              <w:rPr>
                <w:rFonts w:ascii="Arial" w:hAnsi="Arial" w:cs="Arial"/>
              </w:rPr>
              <w:t xml:space="preserve"> </w:t>
            </w:r>
            <w:proofErr w:type="spellStart"/>
            <w:r w:rsidRPr="00333286">
              <w:rPr>
                <w:rFonts w:ascii="Arial" w:hAnsi="Arial" w:cs="Arial"/>
              </w:rPr>
              <w:t>straightforward</w:t>
            </w:r>
            <w:proofErr w:type="spellEnd"/>
            <w:r w:rsidRPr="00333286">
              <w:rPr>
                <w:rFonts w:ascii="Arial" w:hAnsi="Arial" w:cs="Arial"/>
              </w:rPr>
              <w:t xml:space="preserve"> </w:t>
            </w:r>
            <w:proofErr w:type="spellStart"/>
            <w:r w:rsidRPr="00333286">
              <w:rPr>
                <w:rFonts w:ascii="Arial" w:hAnsi="Arial" w:cs="Arial"/>
              </w:rPr>
              <w:t>mutation</w:t>
            </w:r>
            <w:proofErr w:type="spellEnd"/>
            <w:r w:rsidRPr="00333286">
              <w:rPr>
                <w:rFonts w:ascii="Arial" w:hAnsi="Arial" w:cs="Arial"/>
              </w:rPr>
              <w:t xml:space="preserve"> </w:t>
            </w:r>
            <w:proofErr w:type="spellStart"/>
            <w:r w:rsidRPr="00333286">
              <w:rPr>
                <w:rFonts w:ascii="Arial" w:hAnsi="Arial" w:cs="Arial"/>
              </w:rPr>
              <w:t>testing</w:t>
            </w:r>
            <w:proofErr w:type="spellEnd"/>
            <w:r w:rsidRPr="00333286">
              <w:rPr>
                <w:rFonts w:ascii="Arial" w:hAnsi="Arial" w:cs="Arial"/>
              </w:rPr>
              <w:t xml:space="preserve"> in </w:t>
            </w:r>
            <w:proofErr w:type="spellStart"/>
            <w:r w:rsidRPr="00333286">
              <w:rPr>
                <w:rFonts w:ascii="Arial" w:hAnsi="Arial" w:cs="Arial"/>
              </w:rPr>
              <w:t>easily</w:t>
            </w:r>
            <w:proofErr w:type="spellEnd"/>
            <w:r w:rsidRPr="00333286">
              <w:rPr>
                <w:rFonts w:ascii="Arial" w:hAnsi="Arial" w:cs="Arial"/>
              </w:rPr>
              <w:t xml:space="preserve"> </w:t>
            </w:r>
            <w:proofErr w:type="spellStart"/>
            <w:r w:rsidRPr="00333286">
              <w:rPr>
                <w:rFonts w:ascii="Arial" w:hAnsi="Arial" w:cs="Arial"/>
              </w:rPr>
              <w:t>accessible</w:t>
            </w:r>
            <w:proofErr w:type="spellEnd"/>
            <w:r w:rsidRPr="00333286">
              <w:rPr>
                <w:rFonts w:ascii="Arial" w:hAnsi="Arial" w:cs="Arial"/>
              </w:rPr>
              <w:t xml:space="preserve"> </w:t>
            </w:r>
            <w:proofErr w:type="spellStart"/>
            <w:r w:rsidRPr="00333286">
              <w:rPr>
                <w:rFonts w:ascii="Arial" w:hAnsi="Arial" w:cs="Arial"/>
              </w:rPr>
              <w:t>blood</w:t>
            </w:r>
            <w:proofErr w:type="spellEnd"/>
            <w:r w:rsidRPr="00333286">
              <w:rPr>
                <w:rFonts w:ascii="Arial" w:hAnsi="Arial" w:cs="Arial"/>
              </w:rPr>
              <w:t xml:space="preserve"> samples.</w:t>
            </w:r>
          </w:p>
          <w:p w:rsidR="009B77BA" w:rsidRDefault="009B77BA" w:rsidP="00333286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3" w:type="dxa"/>
          </w:tcPr>
          <w:p w:rsidR="001056B6" w:rsidRPr="009F43F3" w:rsidRDefault="00333286" w:rsidP="009F43F3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/</w:t>
            </w:r>
          </w:p>
        </w:tc>
      </w:tr>
      <w:tr w:rsidR="00E50DD6" w:rsidRPr="009F43F3" w:rsidTr="009F43F3">
        <w:tc>
          <w:tcPr>
            <w:tcW w:w="3403" w:type="dxa"/>
          </w:tcPr>
          <w:p w:rsidR="00E50DD6" w:rsidRPr="008771EE" w:rsidRDefault="00E50DD6" w:rsidP="00E50DD6">
            <w:pPr>
              <w:rPr>
                <w:rFonts w:ascii="Arial" w:hAnsi="Arial" w:cs="Arial"/>
              </w:rPr>
            </w:pPr>
            <w:r w:rsidRPr="008771EE">
              <w:rPr>
                <w:rFonts w:ascii="Arial" w:hAnsi="Arial" w:cs="Arial"/>
              </w:rPr>
              <w:t xml:space="preserve">A </w:t>
            </w:r>
            <w:proofErr w:type="spellStart"/>
            <w:r w:rsidRPr="008771EE">
              <w:rPr>
                <w:rFonts w:ascii="Arial" w:hAnsi="Arial" w:cs="Arial"/>
              </w:rPr>
              <w:t>Phase</w:t>
            </w:r>
            <w:proofErr w:type="spellEnd"/>
            <w:r w:rsidRPr="008771EE">
              <w:rPr>
                <w:rFonts w:ascii="Arial" w:hAnsi="Arial" w:cs="Arial"/>
              </w:rPr>
              <w:t xml:space="preserve"> III, </w:t>
            </w:r>
            <w:proofErr w:type="spellStart"/>
            <w:r w:rsidRPr="008771EE">
              <w:rPr>
                <w:rFonts w:ascii="Arial" w:hAnsi="Arial" w:cs="Arial"/>
              </w:rPr>
              <w:t>Randomized</w:t>
            </w:r>
            <w:proofErr w:type="spellEnd"/>
            <w:r w:rsidRPr="008771EE">
              <w:rPr>
                <w:rFonts w:ascii="Arial" w:hAnsi="Arial" w:cs="Arial"/>
              </w:rPr>
              <w:t>, Double-blind, Placebo-</w:t>
            </w:r>
            <w:proofErr w:type="spellStart"/>
            <w:r w:rsidRPr="008771EE">
              <w:rPr>
                <w:rFonts w:ascii="Arial" w:hAnsi="Arial" w:cs="Arial"/>
              </w:rPr>
              <w:t>controlled</w:t>
            </w:r>
            <w:proofErr w:type="spellEnd"/>
            <w:r w:rsidRPr="008771EE">
              <w:rPr>
                <w:rFonts w:ascii="Arial" w:hAnsi="Arial" w:cs="Arial"/>
              </w:rPr>
              <w:t xml:space="preserve"> </w:t>
            </w:r>
            <w:proofErr w:type="spellStart"/>
            <w:r w:rsidRPr="008771EE">
              <w:rPr>
                <w:rFonts w:ascii="Arial" w:hAnsi="Arial" w:cs="Arial"/>
              </w:rPr>
              <w:t>Study</w:t>
            </w:r>
            <w:proofErr w:type="spellEnd"/>
            <w:r w:rsidRPr="008771EE">
              <w:rPr>
                <w:rFonts w:ascii="Arial" w:hAnsi="Arial" w:cs="Arial"/>
              </w:rPr>
              <w:t xml:space="preserve"> of</w:t>
            </w:r>
            <w:r w:rsidR="008771EE">
              <w:rPr>
                <w:rFonts w:ascii="Arial" w:hAnsi="Arial" w:cs="Arial"/>
              </w:rPr>
              <w:t xml:space="preserve"> </w:t>
            </w:r>
            <w:proofErr w:type="spellStart"/>
            <w:r w:rsidRPr="008771EE">
              <w:rPr>
                <w:rFonts w:ascii="Arial" w:hAnsi="Arial" w:cs="Arial"/>
              </w:rPr>
              <w:t>Atezolizumab</w:t>
            </w:r>
            <w:proofErr w:type="spellEnd"/>
            <w:r w:rsidRPr="008771EE">
              <w:rPr>
                <w:rFonts w:ascii="Arial" w:hAnsi="Arial" w:cs="Arial"/>
              </w:rPr>
              <w:t xml:space="preserve"> plus </w:t>
            </w:r>
            <w:proofErr w:type="spellStart"/>
            <w:r w:rsidRPr="008771EE">
              <w:rPr>
                <w:rFonts w:ascii="Arial" w:hAnsi="Arial" w:cs="Arial"/>
              </w:rPr>
              <w:t>Carboplatin</w:t>
            </w:r>
            <w:proofErr w:type="spellEnd"/>
            <w:r w:rsidRPr="008771EE">
              <w:rPr>
                <w:rFonts w:ascii="Arial" w:hAnsi="Arial" w:cs="Arial"/>
              </w:rPr>
              <w:t xml:space="preserve"> </w:t>
            </w:r>
            <w:proofErr w:type="spellStart"/>
            <w:r w:rsidRPr="008771EE">
              <w:rPr>
                <w:rFonts w:ascii="Arial" w:hAnsi="Arial" w:cs="Arial"/>
              </w:rPr>
              <w:t>and</w:t>
            </w:r>
            <w:proofErr w:type="spellEnd"/>
            <w:r w:rsidRPr="008771EE">
              <w:rPr>
                <w:rFonts w:ascii="Arial" w:hAnsi="Arial" w:cs="Arial"/>
              </w:rPr>
              <w:t xml:space="preserve"> </w:t>
            </w:r>
            <w:proofErr w:type="spellStart"/>
            <w:r w:rsidRPr="008771EE">
              <w:rPr>
                <w:rFonts w:ascii="Arial" w:hAnsi="Arial" w:cs="Arial"/>
              </w:rPr>
              <w:t>Etoposide</w:t>
            </w:r>
            <w:proofErr w:type="spellEnd"/>
            <w:r w:rsidRPr="008771EE">
              <w:rPr>
                <w:rFonts w:ascii="Arial" w:hAnsi="Arial" w:cs="Arial"/>
              </w:rPr>
              <w:t xml:space="preserve"> </w:t>
            </w:r>
            <w:proofErr w:type="spellStart"/>
            <w:r w:rsidRPr="008771EE">
              <w:rPr>
                <w:rFonts w:ascii="Arial" w:hAnsi="Arial" w:cs="Arial"/>
              </w:rPr>
              <w:t>with</w:t>
            </w:r>
            <w:proofErr w:type="spellEnd"/>
            <w:r w:rsidRPr="008771EE">
              <w:rPr>
                <w:rFonts w:ascii="Arial" w:hAnsi="Arial" w:cs="Arial"/>
              </w:rPr>
              <w:t xml:space="preserve"> or without </w:t>
            </w:r>
            <w:proofErr w:type="spellStart"/>
            <w:r w:rsidRPr="008771EE">
              <w:rPr>
                <w:rFonts w:ascii="Arial" w:hAnsi="Arial" w:cs="Arial"/>
              </w:rPr>
              <w:t>Tiragolumab</w:t>
            </w:r>
            <w:proofErr w:type="spellEnd"/>
            <w:r w:rsidRPr="008771EE">
              <w:rPr>
                <w:rFonts w:ascii="Arial" w:hAnsi="Arial" w:cs="Arial"/>
              </w:rPr>
              <w:t xml:space="preserve"> (Anti-</w:t>
            </w:r>
            <w:r w:rsidRPr="008771EE">
              <w:rPr>
                <w:rFonts w:ascii="Arial" w:hAnsi="Arial" w:cs="Arial"/>
              </w:rPr>
              <w:lastRenderedPageBreak/>
              <w:t>T</w:t>
            </w:r>
            <w:r w:rsidR="008771EE">
              <w:rPr>
                <w:rFonts w:ascii="Arial" w:hAnsi="Arial" w:cs="Arial"/>
              </w:rPr>
              <w:t>IGIT</w:t>
            </w:r>
            <w:r w:rsidRPr="008771EE">
              <w:rPr>
                <w:rFonts w:ascii="Arial" w:hAnsi="Arial" w:cs="Arial"/>
              </w:rPr>
              <w:t xml:space="preserve"> antibody) in </w:t>
            </w:r>
            <w:proofErr w:type="spellStart"/>
            <w:r w:rsidRPr="008771EE">
              <w:rPr>
                <w:rFonts w:ascii="Arial" w:hAnsi="Arial" w:cs="Arial"/>
              </w:rPr>
              <w:t>Patients</w:t>
            </w:r>
            <w:proofErr w:type="spellEnd"/>
            <w:r w:rsidRPr="008771EE">
              <w:rPr>
                <w:rFonts w:ascii="Arial" w:hAnsi="Arial" w:cs="Arial"/>
              </w:rPr>
              <w:t xml:space="preserve"> </w:t>
            </w:r>
            <w:proofErr w:type="spellStart"/>
            <w:r w:rsidRPr="008771EE">
              <w:rPr>
                <w:rFonts w:ascii="Arial" w:hAnsi="Arial" w:cs="Arial"/>
              </w:rPr>
              <w:t>with</w:t>
            </w:r>
            <w:proofErr w:type="spellEnd"/>
            <w:r w:rsidRPr="008771EE">
              <w:rPr>
                <w:rFonts w:ascii="Arial" w:hAnsi="Arial" w:cs="Arial"/>
              </w:rPr>
              <w:t xml:space="preserve"> </w:t>
            </w:r>
            <w:proofErr w:type="spellStart"/>
            <w:r w:rsidRPr="008771EE">
              <w:rPr>
                <w:rFonts w:ascii="Arial" w:hAnsi="Arial" w:cs="Arial"/>
              </w:rPr>
              <w:t>Untreated</w:t>
            </w:r>
            <w:proofErr w:type="spellEnd"/>
            <w:r w:rsidRPr="008771EE">
              <w:rPr>
                <w:rFonts w:ascii="Arial" w:hAnsi="Arial" w:cs="Arial"/>
              </w:rPr>
              <w:t xml:space="preserve"> </w:t>
            </w:r>
            <w:proofErr w:type="spellStart"/>
            <w:r w:rsidRPr="008771EE">
              <w:rPr>
                <w:rFonts w:ascii="Arial" w:hAnsi="Arial" w:cs="Arial"/>
              </w:rPr>
              <w:t>Extensive</w:t>
            </w:r>
            <w:proofErr w:type="spellEnd"/>
            <w:r w:rsidRPr="008771EE">
              <w:rPr>
                <w:rFonts w:ascii="Arial" w:hAnsi="Arial" w:cs="Arial"/>
              </w:rPr>
              <w:t xml:space="preserve">-stage Small </w:t>
            </w:r>
            <w:proofErr w:type="spellStart"/>
            <w:r w:rsidRPr="008771EE">
              <w:rPr>
                <w:rFonts w:ascii="Arial" w:hAnsi="Arial" w:cs="Arial"/>
              </w:rPr>
              <w:t>Cell</w:t>
            </w:r>
            <w:proofErr w:type="spellEnd"/>
            <w:r w:rsidRPr="008771EE">
              <w:rPr>
                <w:rFonts w:ascii="Arial" w:hAnsi="Arial" w:cs="Arial"/>
              </w:rPr>
              <w:t xml:space="preserve"> </w:t>
            </w:r>
            <w:proofErr w:type="spellStart"/>
            <w:r w:rsidRPr="008771EE">
              <w:rPr>
                <w:rFonts w:ascii="Arial" w:hAnsi="Arial" w:cs="Arial"/>
              </w:rPr>
              <w:t>Lung</w:t>
            </w:r>
            <w:proofErr w:type="spellEnd"/>
            <w:r w:rsidRPr="008771EE">
              <w:rPr>
                <w:rFonts w:ascii="Arial" w:hAnsi="Arial" w:cs="Arial"/>
              </w:rPr>
              <w:t xml:space="preserve"> Cancer</w:t>
            </w:r>
            <w:r w:rsidR="008771EE">
              <w:rPr>
                <w:rFonts w:ascii="Arial" w:hAnsi="Arial" w:cs="Arial"/>
              </w:rPr>
              <w:t xml:space="preserve"> </w:t>
            </w:r>
            <w:r w:rsidR="008771EE" w:rsidRPr="008771EE">
              <w:rPr>
                <w:rFonts w:ascii="Arial" w:hAnsi="Arial" w:cs="Arial"/>
              </w:rPr>
              <w:t>(SKYSCRAPER-02)</w:t>
            </w:r>
          </w:p>
          <w:p w:rsidR="008771EE" w:rsidRPr="001056B6" w:rsidRDefault="008771EE" w:rsidP="00E50DD6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E50DD6" w:rsidRDefault="00E50DD6" w:rsidP="009F43F3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lastRenderedPageBreak/>
              <w:t>III</w:t>
            </w:r>
          </w:p>
        </w:tc>
        <w:tc>
          <w:tcPr>
            <w:tcW w:w="1559" w:type="dxa"/>
          </w:tcPr>
          <w:p w:rsidR="00E50DD6" w:rsidRDefault="00750D43" w:rsidP="00750D43">
            <w:pPr>
              <w:rPr>
                <w:rFonts w:ascii="Arial" w:hAnsi="Arial" w:cs="Arial"/>
                <w:lang w:val="en-US"/>
              </w:rPr>
            </w:pPr>
            <w:proofErr w:type="spellStart"/>
            <w:r w:rsidRPr="00750D43">
              <w:rPr>
                <w:rFonts w:ascii="Arial" w:hAnsi="Arial" w:cs="Arial"/>
              </w:rPr>
              <w:t>extensive</w:t>
            </w:r>
            <w:proofErr w:type="spellEnd"/>
            <w:r w:rsidRPr="00750D43">
              <w:rPr>
                <w:rFonts w:ascii="Arial" w:hAnsi="Arial" w:cs="Arial"/>
              </w:rPr>
              <w:t xml:space="preserve">-stage </w:t>
            </w:r>
            <w:r w:rsidR="00E50DD6">
              <w:rPr>
                <w:rFonts w:ascii="Arial" w:hAnsi="Arial" w:cs="Arial"/>
                <w:lang w:val="en-US"/>
              </w:rPr>
              <w:t>SCLC</w:t>
            </w:r>
          </w:p>
        </w:tc>
        <w:tc>
          <w:tcPr>
            <w:tcW w:w="1985" w:type="dxa"/>
          </w:tcPr>
          <w:p w:rsidR="00E50DD6" w:rsidRDefault="008771EE" w:rsidP="009F43F3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1L</w:t>
            </w:r>
          </w:p>
        </w:tc>
        <w:tc>
          <w:tcPr>
            <w:tcW w:w="4819" w:type="dxa"/>
          </w:tcPr>
          <w:p w:rsidR="008771EE" w:rsidRDefault="008771EE" w:rsidP="008771EE">
            <w:pPr>
              <w:pStyle w:val="Lijstalinea"/>
              <w:numPr>
                <w:ilvl w:val="0"/>
                <w:numId w:val="1"/>
              </w:numPr>
              <w:ind w:left="469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Induction 4x </w:t>
            </w:r>
            <w:r w:rsidRPr="00DE1539">
              <w:rPr>
                <w:rFonts w:ascii="Arial" w:hAnsi="Arial" w:cs="Arial"/>
                <w:lang w:val="en-US"/>
              </w:rPr>
              <w:t xml:space="preserve">Q3W: </w:t>
            </w:r>
            <w:proofErr w:type="spellStart"/>
            <w:r>
              <w:rPr>
                <w:rFonts w:ascii="Arial" w:hAnsi="Arial" w:cs="Arial"/>
                <w:lang w:val="en-US"/>
              </w:rPr>
              <w:t>Tiragolumab</w:t>
            </w:r>
            <w:proofErr w:type="spellEnd"/>
            <w:r w:rsidRPr="00DE1539">
              <w:rPr>
                <w:rFonts w:ascii="Arial" w:hAnsi="Arial" w:cs="Arial"/>
                <w:lang w:val="en-US"/>
              </w:rPr>
              <w:t xml:space="preserve">/Placebo + </w:t>
            </w:r>
            <w:proofErr w:type="spellStart"/>
            <w:r>
              <w:rPr>
                <w:rFonts w:ascii="Arial" w:hAnsi="Arial" w:cs="Arial"/>
                <w:lang w:val="en-US"/>
              </w:rPr>
              <w:t>Atezolizumab</w:t>
            </w:r>
            <w:proofErr w:type="spellEnd"/>
            <w:r w:rsidRPr="00DE1539">
              <w:rPr>
                <w:rFonts w:ascii="Arial" w:hAnsi="Arial" w:cs="Arial"/>
                <w:lang w:val="en-US"/>
              </w:rPr>
              <w:t xml:space="preserve"> + </w:t>
            </w:r>
            <w:r>
              <w:rPr>
                <w:rFonts w:ascii="Arial" w:hAnsi="Arial" w:cs="Arial"/>
                <w:lang w:val="en-US"/>
              </w:rPr>
              <w:t>Carboplatin-Etoposide</w:t>
            </w:r>
          </w:p>
          <w:p w:rsidR="008771EE" w:rsidRPr="00DE1539" w:rsidRDefault="008771EE" w:rsidP="008771EE">
            <w:pPr>
              <w:pStyle w:val="Lijstalinea"/>
              <w:numPr>
                <w:ilvl w:val="0"/>
                <w:numId w:val="1"/>
              </w:numPr>
              <w:ind w:left="469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Maintenance Q3W: </w:t>
            </w:r>
            <w:proofErr w:type="spellStart"/>
            <w:r>
              <w:rPr>
                <w:rFonts w:ascii="Arial" w:hAnsi="Arial" w:cs="Arial"/>
                <w:lang w:val="en-US"/>
              </w:rPr>
              <w:t>Tiragolumab</w:t>
            </w:r>
            <w:proofErr w:type="spellEnd"/>
            <w:r w:rsidRPr="00DE1539">
              <w:rPr>
                <w:rFonts w:ascii="Arial" w:hAnsi="Arial" w:cs="Arial"/>
                <w:lang w:val="en-US"/>
              </w:rPr>
              <w:t xml:space="preserve">/Placebo + </w:t>
            </w:r>
            <w:proofErr w:type="spellStart"/>
            <w:r>
              <w:rPr>
                <w:rFonts w:ascii="Arial" w:hAnsi="Arial" w:cs="Arial"/>
                <w:lang w:val="en-US"/>
              </w:rPr>
              <w:t>Atezolizumab</w:t>
            </w:r>
            <w:proofErr w:type="spellEnd"/>
          </w:p>
          <w:p w:rsidR="00E50DD6" w:rsidRPr="00333286" w:rsidRDefault="00E50DD6" w:rsidP="008771E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E50DD6" w:rsidRDefault="008771EE" w:rsidP="009F43F3">
            <w:pPr>
              <w:rPr>
                <w:rFonts w:ascii="Arial" w:hAnsi="Arial" w:cs="Arial"/>
                <w:lang w:val="en-US"/>
              </w:rPr>
            </w:pPr>
            <w:r>
              <w:rPr>
                <w:rFonts w:ascii="Helvetica" w:hAnsi="Helvetica" w:cs="Helvetica"/>
                <w:sz w:val="23"/>
                <w:szCs w:val="23"/>
              </w:rPr>
              <w:t>NCT04256421</w:t>
            </w:r>
          </w:p>
        </w:tc>
      </w:tr>
      <w:tr w:rsidR="00E50DD6" w:rsidRPr="009F43F3" w:rsidTr="00F44B18">
        <w:trPr>
          <w:trHeight w:val="2682"/>
        </w:trPr>
        <w:tc>
          <w:tcPr>
            <w:tcW w:w="3403" w:type="dxa"/>
          </w:tcPr>
          <w:p w:rsidR="00E50DD6" w:rsidRDefault="00F44B18" w:rsidP="009F43F3">
            <w:pPr>
              <w:rPr>
                <w:rFonts w:ascii="Arial" w:hAnsi="Arial" w:cs="Arial"/>
              </w:rPr>
            </w:pPr>
            <w:r w:rsidRPr="00F44B18">
              <w:rPr>
                <w:rFonts w:ascii="Arial" w:hAnsi="Arial" w:cs="Arial"/>
              </w:rPr>
              <w:t xml:space="preserve">A Multicenter, </w:t>
            </w:r>
            <w:proofErr w:type="spellStart"/>
            <w:r w:rsidRPr="00F44B18">
              <w:rPr>
                <w:rFonts w:ascii="Arial" w:hAnsi="Arial" w:cs="Arial"/>
              </w:rPr>
              <w:t>Randomized</w:t>
            </w:r>
            <w:proofErr w:type="spellEnd"/>
            <w:r w:rsidRPr="00F44B18">
              <w:rPr>
                <w:rFonts w:ascii="Arial" w:hAnsi="Arial" w:cs="Arial"/>
              </w:rPr>
              <w:t xml:space="preserve">, Open-Label, </w:t>
            </w:r>
            <w:proofErr w:type="spellStart"/>
            <w:r w:rsidRPr="00F44B18">
              <w:rPr>
                <w:rFonts w:ascii="Arial" w:hAnsi="Arial" w:cs="Arial"/>
              </w:rPr>
              <w:t>Phase</w:t>
            </w:r>
            <w:proofErr w:type="spellEnd"/>
            <w:r w:rsidRPr="00F44B18">
              <w:rPr>
                <w:rFonts w:ascii="Arial" w:hAnsi="Arial" w:cs="Arial"/>
              </w:rPr>
              <w:t xml:space="preserve"> 3 Trial </w:t>
            </w:r>
            <w:proofErr w:type="spellStart"/>
            <w:r w:rsidRPr="00F44B18">
              <w:rPr>
                <w:rFonts w:ascii="Arial" w:hAnsi="Arial" w:cs="Arial"/>
              </w:rPr>
              <w:t>Comparing</w:t>
            </w:r>
            <w:proofErr w:type="spellEnd"/>
            <w:r w:rsidRPr="00F44B18">
              <w:rPr>
                <w:rFonts w:ascii="Arial" w:hAnsi="Arial" w:cs="Arial"/>
              </w:rPr>
              <w:t xml:space="preserve"> LOXO-292 </w:t>
            </w:r>
            <w:proofErr w:type="spellStart"/>
            <w:r w:rsidRPr="00F44B18">
              <w:rPr>
                <w:rFonts w:ascii="Arial" w:hAnsi="Arial" w:cs="Arial"/>
              </w:rPr>
              <w:t>to</w:t>
            </w:r>
            <w:proofErr w:type="spellEnd"/>
            <w:r w:rsidRPr="00F44B18">
              <w:rPr>
                <w:rFonts w:ascii="Arial" w:hAnsi="Arial" w:cs="Arial"/>
              </w:rPr>
              <w:t xml:space="preserve"> Platinum-</w:t>
            </w:r>
            <w:proofErr w:type="spellStart"/>
            <w:r w:rsidRPr="00F44B18">
              <w:rPr>
                <w:rFonts w:ascii="Arial" w:hAnsi="Arial" w:cs="Arial"/>
              </w:rPr>
              <w:t>Based</w:t>
            </w:r>
            <w:proofErr w:type="spellEnd"/>
            <w:r w:rsidRPr="00F44B18">
              <w:rPr>
                <w:rFonts w:ascii="Arial" w:hAnsi="Arial" w:cs="Arial"/>
              </w:rPr>
              <w:t xml:space="preserve"> </w:t>
            </w:r>
            <w:proofErr w:type="spellStart"/>
            <w:r w:rsidRPr="00F44B18">
              <w:rPr>
                <w:rFonts w:ascii="Arial" w:hAnsi="Arial" w:cs="Arial"/>
              </w:rPr>
              <w:t>and</w:t>
            </w:r>
            <w:proofErr w:type="spellEnd"/>
            <w:r w:rsidRPr="00F44B18">
              <w:rPr>
                <w:rFonts w:ascii="Arial" w:hAnsi="Arial" w:cs="Arial"/>
              </w:rPr>
              <w:t xml:space="preserve"> </w:t>
            </w:r>
            <w:proofErr w:type="spellStart"/>
            <w:r w:rsidRPr="00F44B18">
              <w:rPr>
                <w:rFonts w:ascii="Arial" w:hAnsi="Arial" w:cs="Arial"/>
              </w:rPr>
              <w:t>Pemetrexed</w:t>
            </w:r>
            <w:proofErr w:type="spellEnd"/>
            <w:r w:rsidRPr="00F44B18">
              <w:rPr>
                <w:rFonts w:ascii="Arial" w:hAnsi="Arial" w:cs="Arial"/>
              </w:rPr>
              <w:t xml:space="preserve"> </w:t>
            </w:r>
            <w:proofErr w:type="spellStart"/>
            <w:r w:rsidRPr="00F44B18">
              <w:rPr>
                <w:rFonts w:ascii="Arial" w:hAnsi="Arial" w:cs="Arial"/>
              </w:rPr>
              <w:t>Therapy</w:t>
            </w:r>
            <w:proofErr w:type="spellEnd"/>
            <w:r w:rsidRPr="00F44B18">
              <w:rPr>
                <w:rFonts w:ascii="Arial" w:hAnsi="Arial" w:cs="Arial"/>
              </w:rPr>
              <w:t xml:space="preserve"> </w:t>
            </w:r>
            <w:proofErr w:type="spellStart"/>
            <w:r w:rsidRPr="00F44B18">
              <w:rPr>
                <w:rFonts w:ascii="Arial" w:hAnsi="Arial" w:cs="Arial"/>
              </w:rPr>
              <w:t>with</w:t>
            </w:r>
            <w:proofErr w:type="spellEnd"/>
            <w:r w:rsidRPr="00F44B18">
              <w:rPr>
                <w:rFonts w:ascii="Arial" w:hAnsi="Arial" w:cs="Arial"/>
              </w:rPr>
              <w:t xml:space="preserve"> or without </w:t>
            </w:r>
            <w:proofErr w:type="spellStart"/>
            <w:r w:rsidRPr="00F44B18">
              <w:rPr>
                <w:rFonts w:ascii="Arial" w:hAnsi="Arial" w:cs="Arial"/>
              </w:rPr>
              <w:t>Pembrolizumab</w:t>
            </w:r>
            <w:proofErr w:type="spellEnd"/>
            <w:r w:rsidRPr="00F44B18">
              <w:rPr>
                <w:rFonts w:ascii="Arial" w:hAnsi="Arial" w:cs="Arial"/>
              </w:rPr>
              <w:t xml:space="preserve"> as </w:t>
            </w:r>
            <w:proofErr w:type="spellStart"/>
            <w:r w:rsidRPr="00F44B18">
              <w:rPr>
                <w:rFonts w:ascii="Arial" w:hAnsi="Arial" w:cs="Arial"/>
              </w:rPr>
              <w:t>Initial</w:t>
            </w:r>
            <w:proofErr w:type="spellEnd"/>
            <w:r w:rsidRPr="00F44B18">
              <w:rPr>
                <w:rFonts w:ascii="Arial" w:hAnsi="Arial" w:cs="Arial"/>
              </w:rPr>
              <w:t xml:space="preserve"> Treatment of Advanced or </w:t>
            </w:r>
            <w:proofErr w:type="spellStart"/>
            <w:r w:rsidRPr="00F44B18">
              <w:rPr>
                <w:rFonts w:ascii="Arial" w:hAnsi="Arial" w:cs="Arial"/>
              </w:rPr>
              <w:t>Metastatic</w:t>
            </w:r>
            <w:proofErr w:type="spellEnd"/>
            <w:r w:rsidRPr="00F44B18">
              <w:rPr>
                <w:rFonts w:ascii="Arial" w:hAnsi="Arial" w:cs="Arial"/>
              </w:rPr>
              <w:t xml:space="preserve"> RET </w:t>
            </w:r>
            <w:proofErr w:type="spellStart"/>
            <w:r w:rsidRPr="00F44B18">
              <w:rPr>
                <w:rFonts w:ascii="Arial" w:hAnsi="Arial" w:cs="Arial"/>
              </w:rPr>
              <w:t>Fusion-Positive</w:t>
            </w:r>
            <w:proofErr w:type="spellEnd"/>
            <w:r w:rsidRPr="00F44B18">
              <w:rPr>
                <w:rFonts w:ascii="Arial" w:hAnsi="Arial" w:cs="Arial"/>
              </w:rPr>
              <w:t xml:space="preserve"> Non-Small </w:t>
            </w:r>
            <w:proofErr w:type="spellStart"/>
            <w:r w:rsidRPr="00F44B18">
              <w:rPr>
                <w:rFonts w:ascii="Arial" w:hAnsi="Arial" w:cs="Arial"/>
              </w:rPr>
              <w:t>Cell</w:t>
            </w:r>
            <w:proofErr w:type="spellEnd"/>
            <w:r w:rsidRPr="00F44B18">
              <w:rPr>
                <w:rFonts w:ascii="Arial" w:hAnsi="Arial" w:cs="Arial"/>
              </w:rPr>
              <w:t xml:space="preserve"> </w:t>
            </w:r>
            <w:proofErr w:type="spellStart"/>
            <w:r w:rsidRPr="00F44B18">
              <w:rPr>
                <w:rFonts w:ascii="Arial" w:hAnsi="Arial" w:cs="Arial"/>
              </w:rPr>
              <w:t>Lung</w:t>
            </w:r>
            <w:proofErr w:type="spellEnd"/>
            <w:r w:rsidRPr="00F44B18">
              <w:rPr>
                <w:rFonts w:ascii="Arial" w:hAnsi="Arial" w:cs="Arial"/>
              </w:rPr>
              <w:t xml:space="preserve"> Cancer</w:t>
            </w:r>
          </w:p>
          <w:p w:rsidR="00F44B18" w:rsidRPr="001056B6" w:rsidRDefault="00F44B18" w:rsidP="009F43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(LIBRETTO-431)</w:t>
            </w:r>
          </w:p>
        </w:tc>
        <w:tc>
          <w:tcPr>
            <w:tcW w:w="1134" w:type="dxa"/>
          </w:tcPr>
          <w:p w:rsidR="00E50DD6" w:rsidRDefault="00F44B18" w:rsidP="009F43F3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III</w:t>
            </w:r>
          </w:p>
        </w:tc>
        <w:tc>
          <w:tcPr>
            <w:tcW w:w="1559" w:type="dxa"/>
          </w:tcPr>
          <w:p w:rsidR="00E50DD6" w:rsidRDefault="00F44B18" w:rsidP="009F43F3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NSCLC</w:t>
            </w:r>
          </w:p>
          <w:p w:rsidR="00F44B18" w:rsidRDefault="00F44B18" w:rsidP="009F43F3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RET +</w:t>
            </w:r>
          </w:p>
        </w:tc>
        <w:tc>
          <w:tcPr>
            <w:tcW w:w="1985" w:type="dxa"/>
          </w:tcPr>
          <w:p w:rsidR="00E50DD6" w:rsidRDefault="00994F97" w:rsidP="009F43F3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1L</w:t>
            </w:r>
          </w:p>
          <w:p w:rsidR="00994F97" w:rsidRDefault="00994F97" w:rsidP="009F43F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819" w:type="dxa"/>
          </w:tcPr>
          <w:p w:rsidR="00994F97" w:rsidRDefault="00F7406D" w:rsidP="00994F97">
            <w:pPr>
              <w:pStyle w:val="Lijstalinea"/>
              <w:numPr>
                <w:ilvl w:val="0"/>
                <w:numId w:val="1"/>
              </w:numPr>
              <w:ind w:left="469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Arm A BID: LOXO-292</w:t>
            </w:r>
            <w:r w:rsidR="008B7BA6">
              <w:rPr>
                <w:rFonts w:ascii="Arial" w:hAnsi="Arial" w:cs="Arial"/>
                <w:lang w:val="en-US"/>
              </w:rPr>
              <w:t xml:space="preserve"> (</w:t>
            </w:r>
            <w:proofErr w:type="spellStart"/>
            <w:r w:rsidR="008B7BA6" w:rsidRPr="008B7BA6">
              <w:rPr>
                <w:rFonts w:ascii="Arial" w:hAnsi="Arial" w:cs="Arial"/>
                <w:lang w:val="en-US"/>
              </w:rPr>
              <w:t>Selpercatinib</w:t>
            </w:r>
            <w:proofErr w:type="spellEnd"/>
            <w:r w:rsidR="008B7BA6" w:rsidRPr="008B7BA6">
              <w:rPr>
                <w:rFonts w:ascii="Arial" w:hAnsi="Arial" w:cs="Arial"/>
                <w:lang w:val="en-US"/>
              </w:rPr>
              <w:t>)</w:t>
            </w:r>
          </w:p>
          <w:p w:rsidR="00F7406D" w:rsidRPr="00DE1539" w:rsidRDefault="00F7406D" w:rsidP="00994F97">
            <w:pPr>
              <w:pStyle w:val="Lijstalinea"/>
              <w:numPr>
                <w:ilvl w:val="0"/>
                <w:numId w:val="1"/>
              </w:numPr>
              <w:ind w:left="469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Arm B Q3W: </w:t>
            </w:r>
            <w:proofErr w:type="spellStart"/>
            <w:r>
              <w:rPr>
                <w:rFonts w:ascii="Arial" w:hAnsi="Arial" w:cs="Arial"/>
                <w:lang w:val="en-US"/>
              </w:rPr>
              <w:t>pemetrexed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+ carbo- or cisplatin +/- </w:t>
            </w:r>
            <w:proofErr w:type="spellStart"/>
            <w:r>
              <w:rPr>
                <w:rFonts w:ascii="Arial" w:hAnsi="Arial" w:cs="Arial"/>
                <w:lang w:val="en-US"/>
              </w:rPr>
              <w:t>pembrolizumab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r w:rsidRPr="00F7406D">
              <w:rPr>
                <w:rFonts w:ascii="Arial" w:hAnsi="Arial" w:cs="Arial"/>
                <w:lang w:val="en-US"/>
              </w:rPr>
              <w:sym w:font="Wingdings" w:char="F0E0"/>
            </w:r>
            <w:r>
              <w:rPr>
                <w:rFonts w:ascii="Arial" w:hAnsi="Arial" w:cs="Arial"/>
                <w:lang w:val="en-US"/>
              </w:rPr>
              <w:t xml:space="preserve"> possibility to crossover to Arm A after prog</w:t>
            </w:r>
            <w:r w:rsidR="000751E1">
              <w:rPr>
                <w:rFonts w:ascii="Arial" w:hAnsi="Arial" w:cs="Arial"/>
                <w:lang w:val="en-US"/>
              </w:rPr>
              <w:t>r</w:t>
            </w:r>
            <w:r>
              <w:rPr>
                <w:rFonts w:ascii="Arial" w:hAnsi="Arial" w:cs="Arial"/>
                <w:lang w:val="en-US"/>
              </w:rPr>
              <w:t>ession</w:t>
            </w:r>
          </w:p>
          <w:p w:rsidR="00E50DD6" w:rsidRPr="00333286" w:rsidRDefault="00E50DD6" w:rsidP="00333286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E50DD6" w:rsidRDefault="00F44B18" w:rsidP="009F43F3">
            <w:pPr>
              <w:rPr>
                <w:rFonts w:ascii="Arial" w:hAnsi="Arial" w:cs="Arial"/>
                <w:lang w:val="en-US"/>
              </w:rPr>
            </w:pPr>
            <w:r>
              <w:rPr>
                <w:rFonts w:ascii="Helvetica" w:hAnsi="Helvetica" w:cs="Helvetica"/>
                <w:sz w:val="23"/>
                <w:szCs w:val="23"/>
              </w:rPr>
              <w:t>NCT04194944</w:t>
            </w:r>
          </w:p>
        </w:tc>
      </w:tr>
      <w:tr w:rsidR="0089148F" w:rsidRPr="009F43F3" w:rsidTr="00F44B18">
        <w:trPr>
          <w:trHeight w:val="2682"/>
        </w:trPr>
        <w:tc>
          <w:tcPr>
            <w:tcW w:w="3403" w:type="dxa"/>
          </w:tcPr>
          <w:p w:rsidR="0089148F" w:rsidRPr="0089148F" w:rsidRDefault="0089148F" w:rsidP="0089148F">
            <w:pPr>
              <w:rPr>
                <w:rFonts w:ascii="Arial" w:hAnsi="Arial" w:cs="Arial"/>
              </w:rPr>
            </w:pPr>
            <w:r w:rsidRPr="0089148F">
              <w:rPr>
                <w:rFonts w:ascii="Arial" w:hAnsi="Arial" w:cs="Arial"/>
              </w:rPr>
              <w:t xml:space="preserve">A Multicenter, Double Blind, Randomized, Controlled Study of M7824 </w:t>
            </w:r>
            <w:proofErr w:type="spellStart"/>
            <w:r w:rsidRPr="0089148F">
              <w:rPr>
                <w:rFonts w:ascii="Arial" w:hAnsi="Arial" w:cs="Arial"/>
              </w:rPr>
              <w:t>with</w:t>
            </w:r>
            <w:proofErr w:type="spellEnd"/>
            <w:r w:rsidRPr="0089148F">
              <w:rPr>
                <w:rFonts w:ascii="Arial" w:hAnsi="Arial" w:cs="Arial"/>
              </w:rPr>
              <w:t xml:space="preserve"> Concurrent </w:t>
            </w:r>
            <w:proofErr w:type="spellStart"/>
            <w:r w:rsidRPr="0089148F">
              <w:rPr>
                <w:rFonts w:ascii="Arial" w:hAnsi="Arial" w:cs="Arial"/>
              </w:rPr>
              <w:t>Chemoradiation</w:t>
            </w:r>
            <w:proofErr w:type="spellEnd"/>
            <w:r w:rsidRPr="0089148F">
              <w:rPr>
                <w:rFonts w:ascii="Arial" w:hAnsi="Arial" w:cs="Arial"/>
              </w:rPr>
              <w:t xml:space="preserve"> </w:t>
            </w:r>
            <w:proofErr w:type="spellStart"/>
            <w:r w:rsidRPr="0089148F">
              <w:rPr>
                <w:rFonts w:ascii="Arial" w:hAnsi="Arial" w:cs="Arial"/>
              </w:rPr>
              <w:t>Followed</w:t>
            </w:r>
            <w:proofErr w:type="spellEnd"/>
            <w:r w:rsidRPr="0089148F">
              <w:rPr>
                <w:rFonts w:ascii="Arial" w:hAnsi="Arial" w:cs="Arial"/>
              </w:rPr>
              <w:t xml:space="preserve"> </w:t>
            </w:r>
            <w:proofErr w:type="spellStart"/>
            <w:r w:rsidRPr="0089148F">
              <w:rPr>
                <w:rFonts w:ascii="Arial" w:hAnsi="Arial" w:cs="Arial"/>
              </w:rPr>
              <w:t>by</w:t>
            </w:r>
            <w:proofErr w:type="spellEnd"/>
            <w:r w:rsidRPr="0089148F">
              <w:rPr>
                <w:rFonts w:ascii="Arial" w:hAnsi="Arial" w:cs="Arial"/>
              </w:rPr>
              <w:t xml:space="preserve"> M7824 versus Concurrent </w:t>
            </w:r>
            <w:proofErr w:type="spellStart"/>
            <w:r w:rsidRPr="0089148F">
              <w:rPr>
                <w:rFonts w:ascii="Arial" w:hAnsi="Arial" w:cs="Arial"/>
              </w:rPr>
              <w:t>Chemoradiation</w:t>
            </w:r>
            <w:proofErr w:type="spellEnd"/>
            <w:r w:rsidRPr="0089148F">
              <w:rPr>
                <w:rFonts w:ascii="Arial" w:hAnsi="Arial" w:cs="Arial"/>
              </w:rPr>
              <w:t xml:space="preserve"> Plus Placebo </w:t>
            </w:r>
            <w:proofErr w:type="spellStart"/>
            <w:r w:rsidRPr="0089148F">
              <w:rPr>
                <w:rFonts w:ascii="Arial" w:hAnsi="Arial" w:cs="Arial"/>
              </w:rPr>
              <w:t>Followed</w:t>
            </w:r>
            <w:proofErr w:type="spellEnd"/>
            <w:r w:rsidRPr="0089148F">
              <w:rPr>
                <w:rFonts w:ascii="Arial" w:hAnsi="Arial" w:cs="Arial"/>
              </w:rPr>
              <w:t xml:space="preserve"> </w:t>
            </w:r>
            <w:proofErr w:type="spellStart"/>
            <w:r w:rsidRPr="0089148F">
              <w:rPr>
                <w:rFonts w:ascii="Arial" w:hAnsi="Arial" w:cs="Arial"/>
              </w:rPr>
              <w:t>by</w:t>
            </w:r>
            <w:proofErr w:type="spellEnd"/>
            <w:r w:rsidRPr="0089148F">
              <w:rPr>
                <w:rFonts w:ascii="Arial" w:hAnsi="Arial" w:cs="Arial"/>
              </w:rPr>
              <w:t xml:space="preserve"> </w:t>
            </w:r>
            <w:proofErr w:type="spellStart"/>
            <w:r w:rsidRPr="0089148F">
              <w:rPr>
                <w:rFonts w:ascii="Arial" w:hAnsi="Arial" w:cs="Arial"/>
              </w:rPr>
              <w:t>Durvalumab</w:t>
            </w:r>
            <w:proofErr w:type="spellEnd"/>
            <w:r w:rsidRPr="0089148F">
              <w:rPr>
                <w:rFonts w:ascii="Arial" w:hAnsi="Arial" w:cs="Arial"/>
              </w:rPr>
              <w:t xml:space="preserve"> in </w:t>
            </w:r>
            <w:proofErr w:type="spellStart"/>
            <w:r w:rsidRPr="0089148F">
              <w:rPr>
                <w:rFonts w:ascii="Arial" w:hAnsi="Arial" w:cs="Arial"/>
              </w:rPr>
              <w:t>Participants</w:t>
            </w:r>
            <w:proofErr w:type="spellEnd"/>
            <w:r w:rsidRPr="0089148F">
              <w:rPr>
                <w:rFonts w:ascii="Arial" w:hAnsi="Arial" w:cs="Arial"/>
              </w:rPr>
              <w:t xml:space="preserve"> </w:t>
            </w:r>
            <w:proofErr w:type="spellStart"/>
            <w:r w:rsidRPr="0089148F">
              <w:rPr>
                <w:rFonts w:ascii="Arial" w:hAnsi="Arial" w:cs="Arial"/>
              </w:rPr>
              <w:t>with</w:t>
            </w:r>
            <w:proofErr w:type="spellEnd"/>
            <w:r w:rsidRPr="0089148F">
              <w:rPr>
                <w:rFonts w:ascii="Arial" w:hAnsi="Arial" w:cs="Arial"/>
              </w:rPr>
              <w:t xml:space="preserve"> </w:t>
            </w:r>
            <w:proofErr w:type="spellStart"/>
            <w:r w:rsidRPr="0089148F">
              <w:rPr>
                <w:rFonts w:ascii="Arial" w:hAnsi="Arial" w:cs="Arial"/>
              </w:rPr>
              <w:t>Unresectable</w:t>
            </w:r>
            <w:proofErr w:type="spellEnd"/>
            <w:r w:rsidRPr="0089148F">
              <w:rPr>
                <w:rFonts w:ascii="Arial" w:hAnsi="Arial" w:cs="Arial"/>
              </w:rPr>
              <w:t xml:space="preserve"> Stage III Non-small Cell Lung Cancer</w:t>
            </w:r>
          </w:p>
          <w:p w:rsidR="0089148F" w:rsidRPr="00F44B18" w:rsidRDefault="0089148F" w:rsidP="009F43F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9148F" w:rsidRDefault="000751E1" w:rsidP="009F43F3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II</w:t>
            </w:r>
          </w:p>
        </w:tc>
        <w:tc>
          <w:tcPr>
            <w:tcW w:w="1559" w:type="dxa"/>
          </w:tcPr>
          <w:p w:rsidR="0089148F" w:rsidRDefault="0089148F" w:rsidP="009F43F3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NSCLC</w:t>
            </w:r>
          </w:p>
          <w:p w:rsidR="0089148F" w:rsidRDefault="0089148F" w:rsidP="0089148F">
            <w:pPr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Unresectable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Stage III</w:t>
            </w:r>
          </w:p>
        </w:tc>
        <w:tc>
          <w:tcPr>
            <w:tcW w:w="1985" w:type="dxa"/>
          </w:tcPr>
          <w:p w:rsidR="0089148F" w:rsidRDefault="000751E1" w:rsidP="009F43F3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1L</w:t>
            </w:r>
            <w:bookmarkStart w:id="0" w:name="_GoBack"/>
            <w:bookmarkEnd w:id="0"/>
          </w:p>
        </w:tc>
        <w:tc>
          <w:tcPr>
            <w:tcW w:w="4819" w:type="dxa"/>
          </w:tcPr>
          <w:p w:rsidR="000751E1" w:rsidRPr="000751E1" w:rsidRDefault="000751E1" w:rsidP="000751E1">
            <w:pPr>
              <w:pStyle w:val="Lijstalinea"/>
              <w:numPr>
                <w:ilvl w:val="0"/>
                <w:numId w:val="1"/>
              </w:numPr>
              <w:ind w:left="469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Arm 1: </w:t>
            </w:r>
            <w:proofErr w:type="spellStart"/>
            <w:r w:rsidRPr="000751E1">
              <w:rPr>
                <w:rFonts w:ascii="Arial" w:hAnsi="Arial" w:cs="Arial"/>
                <w:lang w:val="en-US"/>
              </w:rPr>
              <w:t>cC</w:t>
            </w:r>
            <w:r>
              <w:rPr>
                <w:rFonts w:ascii="Arial" w:hAnsi="Arial" w:cs="Arial"/>
                <w:lang w:val="en-US"/>
              </w:rPr>
              <w:t>RT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plus M7824 followed by M7824</w:t>
            </w:r>
          </w:p>
          <w:p w:rsidR="0089148F" w:rsidRDefault="000751E1" w:rsidP="000751E1">
            <w:pPr>
              <w:pStyle w:val="Lijstalinea"/>
              <w:numPr>
                <w:ilvl w:val="0"/>
                <w:numId w:val="1"/>
              </w:numPr>
              <w:ind w:left="469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Arm 2: </w:t>
            </w:r>
            <w:proofErr w:type="spellStart"/>
            <w:r w:rsidRPr="000751E1">
              <w:rPr>
                <w:rFonts w:ascii="Arial" w:hAnsi="Arial" w:cs="Arial"/>
                <w:lang w:val="en-US"/>
              </w:rPr>
              <w:t>cCRT</w:t>
            </w:r>
            <w:proofErr w:type="spellEnd"/>
            <w:r w:rsidRPr="000751E1">
              <w:rPr>
                <w:rFonts w:ascii="Arial" w:hAnsi="Arial" w:cs="Arial"/>
                <w:lang w:val="en-US"/>
              </w:rPr>
              <w:t xml:space="preserve"> plus</w:t>
            </w:r>
            <w:r>
              <w:rPr>
                <w:rFonts w:ascii="Arial" w:hAnsi="Arial" w:cs="Arial"/>
                <w:lang w:val="en-US"/>
              </w:rPr>
              <w:t xml:space="preserve"> placebo followed by </w:t>
            </w:r>
            <w:proofErr w:type="spellStart"/>
            <w:r>
              <w:rPr>
                <w:rFonts w:ascii="Arial" w:hAnsi="Arial" w:cs="Arial"/>
                <w:lang w:val="en-US"/>
              </w:rPr>
              <w:t>durvalumab</w:t>
            </w:r>
            <w:proofErr w:type="spellEnd"/>
          </w:p>
        </w:tc>
        <w:tc>
          <w:tcPr>
            <w:tcW w:w="1843" w:type="dxa"/>
          </w:tcPr>
          <w:p w:rsidR="0089148F" w:rsidRDefault="0089148F" w:rsidP="009F43F3">
            <w:pPr>
              <w:rPr>
                <w:rFonts w:ascii="Helvetica" w:hAnsi="Helvetica" w:cs="Helvetica"/>
                <w:sz w:val="23"/>
                <w:szCs w:val="23"/>
              </w:rPr>
            </w:pPr>
            <w:r>
              <w:rPr>
                <w:rFonts w:ascii="Helvetica" w:hAnsi="Helvetica" w:cs="Helvetica"/>
                <w:sz w:val="23"/>
                <w:szCs w:val="23"/>
              </w:rPr>
              <w:t>NCT03840902</w:t>
            </w:r>
          </w:p>
        </w:tc>
      </w:tr>
    </w:tbl>
    <w:p w:rsidR="000E0654" w:rsidRDefault="000E0654"/>
    <w:sectPr w:rsidR="000E0654" w:rsidSect="00DE153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611FA"/>
    <w:multiLevelType w:val="hybridMultilevel"/>
    <w:tmpl w:val="AEAEE3C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654"/>
    <w:rsid w:val="000751E1"/>
    <w:rsid w:val="000E0654"/>
    <w:rsid w:val="001056B6"/>
    <w:rsid w:val="00333286"/>
    <w:rsid w:val="005628D3"/>
    <w:rsid w:val="00750D43"/>
    <w:rsid w:val="00875DA5"/>
    <w:rsid w:val="008771EE"/>
    <w:rsid w:val="0089148F"/>
    <w:rsid w:val="008B7BA6"/>
    <w:rsid w:val="009872A6"/>
    <w:rsid w:val="00994F97"/>
    <w:rsid w:val="009B77BA"/>
    <w:rsid w:val="009F43F3"/>
    <w:rsid w:val="00D815E3"/>
    <w:rsid w:val="00DE1539"/>
    <w:rsid w:val="00E50DD6"/>
    <w:rsid w:val="00EC4541"/>
    <w:rsid w:val="00F44B18"/>
    <w:rsid w:val="00F74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282BA"/>
  <w15:chartTrackingRefBased/>
  <w15:docId w15:val="{D86D4577-A951-425F-8E8C-1A146933E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0E06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0E0654"/>
    <w:pPr>
      <w:ind w:left="720"/>
      <w:contextualSpacing/>
    </w:pPr>
  </w:style>
  <w:style w:type="character" w:styleId="Hyperlink">
    <w:name w:val="Hyperlink"/>
    <w:basedOn w:val="Standaardalinea-lettertype"/>
    <w:uiPriority w:val="99"/>
    <w:semiHidden/>
    <w:unhideWhenUsed/>
    <w:rsid w:val="00DE1539"/>
    <w:rPr>
      <w:strike w:val="0"/>
      <w:dstrike w:val="0"/>
      <w:color w:val="1A3D85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2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linicaltrials.gov/show/NCT034256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414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AZ Nikolaas</Company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Van Camp</dc:creator>
  <cp:keywords/>
  <dc:description/>
  <cp:lastModifiedBy>Kirsten Van Camp</cp:lastModifiedBy>
  <cp:revision>12</cp:revision>
  <dcterms:created xsi:type="dcterms:W3CDTF">2019-09-04T08:59:00Z</dcterms:created>
  <dcterms:modified xsi:type="dcterms:W3CDTF">2020-04-08T12:32:00Z</dcterms:modified>
</cp:coreProperties>
</file>