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0B754" w14:textId="24E09B53" w:rsidR="008F215D" w:rsidRDefault="00FD431E" w:rsidP="00466DE7">
      <w:pPr>
        <w:spacing w:after="0" w:line="480" w:lineRule="auto"/>
        <w:jc w:val="center"/>
        <w:rPr>
          <w:rFonts w:ascii="Arial" w:hAnsi="Arial" w:cs="Arial"/>
          <w:b/>
          <w:color w:val="000000" w:themeColor="text1"/>
          <w:sz w:val="40"/>
          <w:szCs w:val="34"/>
        </w:rPr>
      </w:pPr>
      <w:r>
        <w:rPr>
          <w:rFonts w:ascii="Arial" w:hAnsi="Arial" w:cs="Arial"/>
          <w:b/>
          <w:color w:val="000000" w:themeColor="text1"/>
          <w:sz w:val="40"/>
          <w:szCs w:val="34"/>
        </w:rPr>
        <w:t>Supplementary Figures</w:t>
      </w:r>
    </w:p>
    <w:p w14:paraId="2F892307" w14:textId="1A5EE2EE" w:rsidR="00466DE7" w:rsidRPr="00A031F4" w:rsidRDefault="00B7019F" w:rsidP="00466DE7">
      <w:pPr>
        <w:spacing w:after="0" w:line="480" w:lineRule="auto"/>
        <w:jc w:val="center"/>
        <w:rPr>
          <w:rFonts w:ascii="Arial" w:hAnsi="Arial" w:cs="Arial"/>
          <w:i/>
          <w:color w:val="000000" w:themeColor="text1"/>
          <w:sz w:val="16"/>
        </w:rPr>
      </w:pPr>
      <w:r>
        <w:rPr>
          <w:rFonts w:ascii="Arial" w:hAnsi="Arial" w:cs="Arial"/>
          <w:b/>
          <w:color w:val="000000" w:themeColor="text1"/>
          <w:sz w:val="40"/>
          <w:szCs w:val="34"/>
        </w:rPr>
        <w:t xml:space="preserve">The </w:t>
      </w:r>
      <w:r w:rsidR="00A60883">
        <w:rPr>
          <w:rFonts w:ascii="Arial" w:hAnsi="Arial" w:cs="Arial"/>
          <w:b/>
          <w:color w:val="000000" w:themeColor="text1"/>
          <w:sz w:val="40"/>
          <w:szCs w:val="34"/>
        </w:rPr>
        <w:t>C</w:t>
      </w:r>
      <w:r w:rsidR="00A031F4" w:rsidRPr="00A031F4">
        <w:rPr>
          <w:rFonts w:ascii="Arial" w:hAnsi="Arial" w:cs="Arial"/>
          <w:b/>
          <w:color w:val="000000" w:themeColor="text1"/>
          <w:sz w:val="40"/>
          <w:szCs w:val="34"/>
        </w:rPr>
        <w:t xml:space="preserve">ardiac </w:t>
      </w:r>
      <w:r w:rsidR="00A60883">
        <w:rPr>
          <w:rFonts w:ascii="Arial" w:hAnsi="Arial" w:cs="Arial"/>
          <w:b/>
          <w:color w:val="000000" w:themeColor="text1"/>
          <w:sz w:val="40"/>
          <w:szCs w:val="34"/>
        </w:rPr>
        <w:t>E</w:t>
      </w:r>
      <w:r w:rsidR="00A031F4" w:rsidRPr="00A031F4">
        <w:rPr>
          <w:rFonts w:ascii="Arial" w:hAnsi="Arial" w:cs="Arial"/>
          <w:b/>
          <w:color w:val="000000" w:themeColor="text1"/>
          <w:sz w:val="40"/>
          <w:szCs w:val="34"/>
        </w:rPr>
        <w:t xml:space="preserve">ndothelial </w:t>
      </w:r>
      <w:r w:rsidR="00A60883">
        <w:rPr>
          <w:rFonts w:ascii="Arial" w:hAnsi="Arial" w:cs="Arial"/>
          <w:b/>
          <w:color w:val="000000" w:themeColor="text1"/>
          <w:sz w:val="40"/>
          <w:szCs w:val="34"/>
        </w:rPr>
        <w:t>Cell</w:t>
      </w:r>
      <w:r w:rsidR="00DF28B3">
        <w:rPr>
          <w:rFonts w:ascii="Arial" w:hAnsi="Arial" w:cs="Arial"/>
          <w:b/>
          <w:color w:val="000000" w:themeColor="text1"/>
          <w:sz w:val="40"/>
          <w:szCs w:val="34"/>
        </w:rPr>
        <w:t xml:space="preserve"> </w:t>
      </w:r>
      <w:r w:rsidR="00A60883">
        <w:rPr>
          <w:rFonts w:ascii="Arial" w:hAnsi="Arial" w:cs="Arial"/>
          <w:b/>
          <w:color w:val="000000" w:themeColor="text1"/>
          <w:sz w:val="40"/>
          <w:szCs w:val="34"/>
        </w:rPr>
        <w:t xml:space="preserve">Transcriptome in Neonatal, Adult, and </w:t>
      </w:r>
      <w:r w:rsidR="008F358D">
        <w:rPr>
          <w:rFonts w:ascii="Arial" w:hAnsi="Arial" w:cs="Arial"/>
          <w:b/>
          <w:color w:val="000000" w:themeColor="text1"/>
          <w:sz w:val="40"/>
          <w:szCs w:val="34"/>
        </w:rPr>
        <w:t>Remodeling</w:t>
      </w:r>
      <w:r w:rsidR="00DF28B3">
        <w:rPr>
          <w:rFonts w:ascii="Arial" w:hAnsi="Arial" w:cs="Arial"/>
          <w:b/>
          <w:color w:val="000000" w:themeColor="text1"/>
          <w:sz w:val="40"/>
          <w:szCs w:val="34"/>
        </w:rPr>
        <w:t xml:space="preserve"> </w:t>
      </w:r>
      <w:bookmarkStart w:id="0" w:name="_GoBack"/>
      <w:bookmarkEnd w:id="0"/>
      <w:r w:rsidR="00A60883">
        <w:rPr>
          <w:rFonts w:ascii="Arial" w:hAnsi="Arial" w:cs="Arial"/>
          <w:b/>
          <w:color w:val="000000" w:themeColor="text1"/>
          <w:sz w:val="40"/>
          <w:szCs w:val="34"/>
        </w:rPr>
        <w:t>H</w:t>
      </w:r>
      <w:r w:rsidR="00DF28B3">
        <w:rPr>
          <w:rFonts w:ascii="Arial" w:hAnsi="Arial" w:cs="Arial"/>
          <w:b/>
          <w:color w:val="000000" w:themeColor="text1"/>
          <w:sz w:val="40"/>
          <w:szCs w:val="34"/>
        </w:rPr>
        <w:t>eart</w:t>
      </w:r>
      <w:r w:rsidR="00A60883">
        <w:rPr>
          <w:rFonts w:ascii="Arial" w:hAnsi="Arial" w:cs="Arial"/>
          <w:b/>
          <w:color w:val="000000" w:themeColor="text1"/>
          <w:sz w:val="40"/>
          <w:szCs w:val="34"/>
        </w:rPr>
        <w:t>s</w:t>
      </w:r>
    </w:p>
    <w:p w14:paraId="2F892308" w14:textId="77777777" w:rsidR="00AA41E0" w:rsidRPr="00083D58" w:rsidRDefault="00AA41E0" w:rsidP="00466DE7">
      <w:pPr>
        <w:spacing w:after="0" w:line="480" w:lineRule="auto"/>
        <w:jc w:val="center"/>
        <w:rPr>
          <w:rFonts w:ascii="Arial" w:hAnsi="Arial" w:cs="Arial"/>
          <w:bCs/>
        </w:rPr>
      </w:pPr>
    </w:p>
    <w:p w14:paraId="2F892309" w14:textId="11234A16" w:rsidR="00466DE7" w:rsidRPr="00A60883" w:rsidRDefault="00466DE7" w:rsidP="00466DE7">
      <w:pPr>
        <w:spacing w:after="0" w:line="480" w:lineRule="auto"/>
        <w:jc w:val="center"/>
        <w:rPr>
          <w:rFonts w:ascii="Arial" w:hAnsi="Arial" w:cs="Arial"/>
          <w:bCs/>
        </w:rPr>
      </w:pPr>
      <w:r w:rsidRPr="00A60883">
        <w:rPr>
          <w:rFonts w:ascii="Arial" w:hAnsi="Arial" w:cs="Arial"/>
          <w:bCs/>
        </w:rPr>
        <w:t>Zarha</w:t>
      </w:r>
      <w:r w:rsidR="003738D6">
        <w:rPr>
          <w:rFonts w:ascii="Arial" w:hAnsi="Arial" w:cs="Arial"/>
          <w:bCs/>
        </w:rPr>
        <w:t xml:space="preserve"> Vermeulen</w:t>
      </w:r>
      <w:r w:rsidR="00A60883" w:rsidRPr="00A60883">
        <w:rPr>
          <w:rFonts w:ascii="Arial" w:hAnsi="Arial" w:cs="Arial"/>
          <w:bCs/>
        </w:rPr>
        <w:t>, Ph</w:t>
      </w:r>
      <w:r w:rsidR="0081167B">
        <w:rPr>
          <w:rFonts w:ascii="Arial" w:hAnsi="Arial" w:cs="Arial"/>
          <w:bCs/>
        </w:rPr>
        <w:t>.</w:t>
      </w:r>
      <w:r w:rsidR="00804CE8" w:rsidRPr="00A60883">
        <w:rPr>
          <w:rFonts w:ascii="Arial" w:hAnsi="Arial" w:cs="Arial"/>
          <w:bCs/>
        </w:rPr>
        <w:t>D</w:t>
      </w:r>
      <w:r w:rsidR="0081167B">
        <w:rPr>
          <w:rFonts w:ascii="Arial" w:hAnsi="Arial" w:cs="Arial"/>
          <w:bCs/>
        </w:rPr>
        <w:t>.</w:t>
      </w:r>
      <w:r w:rsidR="00804CE8" w:rsidRPr="00A60883">
        <w:rPr>
          <w:rFonts w:ascii="Arial" w:hAnsi="Arial" w:cs="Arial"/>
          <w:bCs/>
          <w:vertAlign w:val="superscript"/>
        </w:rPr>
        <w:t>1</w:t>
      </w:r>
      <w:r w:rsidR="003738D6">
        <w:rPr>
          <w:rFonts w:ascii="Arial" w:hAnsi="Arial" w:cs="Arial"/>
          <w:bCs/>
        </w:rPr>
        <w:t xml:space="preserve">; </w:t>
      </w:r>
      <w:r w:rsidRPr="00A60883">
        <w:rPr>
          <w:rFonts w:ascii="Arial" w:hAnsi="Arial" w:cs="Arial"/>
          <w:bCs/>
        </w:rPr>
        <w:t>Ligia</w:t>
      </w:r>
      <w:r w:rsidR="003738D6">
        <w:rPr>
          <w:rFonts w:ascii="Arial" w:hAnsi="Arial" w:cs="Arial"/>
          <w:bCs/>
        </w:rPr>
        <w:t xml:space="preserve"> </w:t>
      </w:r>
      <w:r w:rsidR="003738D6" w:rsidRPr="00A60883">
        <w:rPr>
          <w:rFonts w:ascii="Arial" w:hAnsi="Arial" w:cs="Arial"/>
          <w:bCs/>
        </w:rPr>
        <w:t>Mateiu</w:t>
      </w:r>
      <w:r w:rsidR="00804CE8" w:rsidRPr="00A60883">
        <w:rPr>
          <w:rFonts w:ascii="Arial" w:hAnsi="Arial" w:cs="Arial"/>
          <w:bCs/>
        </w:rPr>
        <w:t>,</w:t>
      </w:r>
      <w:r w:rsidR="00804CE8" w:rsidRPr="00A60883">
        <w:rPr>
          <w:rFonts w:ascii="Arial" w:eastAsia="Times New Roman" w:hAnsi="Arial" w:cs="Arial"/>
          <w:sz w:val="20"/>
        </w:rPr>
        <w:t xml:space="preserve"> </w:t>
      </w:r>
      <w:r w:rsidR="0081167B">
        <w:rPr>
          <w:rFonts w:ascii="Arial" w:hAnsi="Arial" w:cs="Arial"/>
          <w:bCs/>
        </w:rPr>
        <w:t>M.D. Ph.D.</w:t>
      </w:r>
      <w:r w:rsidR="00804CE8" w:rsidRPr="00A60883">
        <w:rPr>
          <w:rFonts w:ascii="Arial" w:eastAsia="Times New Roman" w:hAnsi="Arial" w:cs="Arial"/>
          <w:sz w:val="20"/>
          <w:vertAlign w:val="superscript"/>
        </w:rPr>
        <w:t>2</w:t>
      </w:r>
      <w:r w:rsidR="00804CE8" w:rsidRPr="00A60883">
        <w:rPr>
          <w:rFonts w:ascii="Arial" w:hAnsi="Arial" w:cs="Arial"/>
          <w:bCs/>
        </w:rPr>
        <w:t>;</w:t>
      </w:r>
      <w:r w:rsidRPr="00A60883">
        <w:rPr>
          <w:rFonts w:ascii="Arial" w:hAnsi="Arial" w:cs="Arial"/>
          <w:bCs/>
        </w:rPr>
        <w:t xml:space="preserve"> </w:t>
      </w:r>
      <w:r w:rsidR="003738D6">
        <w:rPr>
          <w:rFonts w:ascii="Arial" w:hAnsi="Arial" w:cs="Arial"/>
          <w:bCs/>
        </w:rPr>
        <w:t xml:space="preserve">Lindsey </w:t>
      </w:r>
      <w:r w:rsidR="00A60883" w:rsidRPr="00A60883">
        <w:rPr>
          <w:rFonts w:ascii="Arial" w:hAnsi="Arial" w:cs="Arial"/>
          <w:bCs/>
        </w:rPr>
        <w:t>Dugaucquier, Pharm</w:t>
      </w:r>
      <w:r w:rsidR="0081167B">
        <w:rPr>
          <w:rFonts w:ascii="Arial" w:hAnsi="Arial" w:cs="Arial"/>
          <w:bCs/>
        </w:rPr>
        <w:t>.</w:t>
      </w:r>
      <w:r w:rsidR="00A60883" w:rsidRPr="00A60883">
        <w:rPr>
          <w:rFonts w:ascii="Arial" w:hAnsi="Arial" w:cs="Arial"/>
          <w:bCs/>
        </w:rPr>
        <w:t>D</w:t>
      </w:r>
      <w:r w:rsidR="0081167B">
        <w:rPr>
          <w:rFonts w:ascii="Arial" w:hAnsi="Arial" w:cs="Arial"/>
          <w:bCs/>
        </w:rPr>
        <w:t>.</w:t>
      </w:r>
      <w:r w:rsidR="00A60883" w:rsidRPr="00A60883">
        <w:rPr>
          <w:rFonts w:ascii="Arial" w:hAnsi="Arial" w:cs="Arial"/>
          <w:bCs/>
          <w:vertAlign w:val="superscript"/>
        </w:rPr>
        <w:t>1</w:t>
      </w:r>
      <w:r w:rsidR="00A60883" w:rsidRPr="00A60883">
        <w:rPr>
          <w:rFonts w:ascii="Arial" w:hAnsi="Arial" w:cs="Arial"/>
          <w:bCs/>
        </w:rPr>
        <w:t xml:space="preserve">; </w:t>
      </w:r>
      <w:r w:rsidR="003738D6">
        <w:rPr>
          <w:rFonts w:ascii="Arial" w:hAnsi="Arial" w:cs="Arial"/>
          <w:bCs/>
        </w:rPr>
        <w:t xml:space="preserve">Gilles W. </w:t>
      </w:r>
      <w:r w:rsidRPr="00A60883">
        <w:rPr>
          <w:rFonts w:ascii="Arial" w:hAnsi="Arial" w:cs="Arial"/>
        </w:rPr>
        <w:t>De Keulenaer</w:t>
      </w:r>
      <w:r w:rsidR="00804CE8" w:rsidRPr="00A60883">
        <w:rPr>
          <w:rFonts w:ascii="Arial" w:hAnsi="Arial" w:cs="Arial"/>
        </w:rPr>
        <w:t xml:space="preserve">, </w:t>
      </w:r>
      <w:r w:rsidR="0081167B">
        <w:rPr>
          <w:rFonts w:ascii="Arial" w:hAnsi="Arial" w:cs="Arial"/>
          <w:bCs/>
        </w:rPr>
        <w:t>M.D.</w:t>
      </w:r>
      <w:r w:rsidR="00804CE8" w:rsidRPr="00A60883">
        <w:rPr>
          <w:rFonts w:ascii="Arial" w:hAnsi="Arial" w:cs="Arial"/>
          <w:bCs/>
        </w:rPr>
        <w:t xml:space="preserve"> </w:t>
      </w:r>
      <w:r w:rsidR="0081167B">
        <w:rPr>
          <w:rFonts w:ascii="Arial" w:hAnsi="Arial" w:cs="Arial"/>
          <w:bCs/>
        </w:rPr>
        <w:t>Ph.D.</w:t>
      </w:r>
      <w:r w:rsidR="00804CE8" w:rsidRPr="00A60883">
        <w:rPr>
          <w:rFonts w:ascii="Arial" w:hAnsi="Arial" w:cs="Arial"/>
          <w:vertAlign w:val="superscript"/>
        </w:rPr>
        <w:t>1,3</w:t>
      </w:r>
      <w:r w:rsidRPr="00A60883">
        <w:rPr>
          <w:rFonts w:ascii="Arial" w:hAnsi="Arial" w:cs="Arial"/>
        </w:rPr>
        <w:t>; Vincent F</w:t>
      </w:r>
      <w:r w:rsidR="003738D6">
        <w:rPr>
          <w:rFonts w:ascii="Arial" w:hAnsi="Arial" w:cs="Arial"/>
        </w:rPr>
        <w:t>.</w:t>
      </w:r>
      <w:r w:rsidRPr="00A60883">
        <w:rPr>
          <w:rFonts w:ascii="Arial" w:hAnsi="Arial" w:cs="Arial"/>
        </w:rPr>
        <w:t>M</w:t>
      </w:r>
      <w:r w:rsidR="003738D6">
        <w:rPr>
          <w:rFonts w:ascii="Arial" w:hAnsi="Arial" w:cs="Arial"/>
        </w:rPr>
        <w:t>. Segers</w:t>
      </w:r>
      <w:r w:rsidR="00804CE8" w:rsidRPr="00A60883">
        <w:rPr>
          <w:rFonts w:ascii="Arial" w:hAnsi="Arial" w:cs="Arial"/>
        </w:rPr>
        <w:t xml:space="preserve">, </w:t>
      </w:r>
      <w:r w:rsidR="0081167B">
        <w:rPr>
          <w:rFonts w:ascii="Arial" w:hAnsi="Arial" w:cs="Arial"/>
          <w:bCs/>
        </w:rPr>
        <w:t>M.D.</w:t>
      </w:r>
      <w:r w:rsidR="00804CE8" w:rsidRPr="00A60883">
        <w:rPr>
          <w:rFonts w:ascii="Arial" w:hAnsi="Arial" w:cs="Arial"/>
          <w:bCs/>
        </w:rPr>
        <w:t xml:space="preserve"> </w:t>
      </w:r>
      <w:r w:rsidR="0081167B">
        <w:rPr>
          <w:rFonts w:ascii="Arial" w:hAnsi="Arial" w:cs="Arial"/>
          <w:bCs/>
        </w:rPr>
        <w:t>Ph.D.</w:t>
      </w:r>
      <w:r w:rsidR="00804CE8" w:rsidRPr="00A60883">
        <w:rPr>
          <w:rFonts w:ascii="Arial" w:hAnsi="Arial" w:cs="Arial"/>
          <w:vertAlign w:val="superscript"/>
        </w:rPr>
        <w:t>1,4</w:t>
      </w:r>
    </w:p>
    <w:p w14:paraId="2F89230A" w14:textId="77777777" w:rsidR="00466DE7" w:rsidRPr="00A60883" w:rsidRDefault="00466DE7" w:rsidP="00466DE7">
      <w:pPr>
        <w:spacing w:after="0" w:line="480" w:lineRule="auto"/>
        <w:rPr>
          <w:rFonts w:ascii="Arial" w:hAnsi="Arial" w:cs="Arial"/>
          <w:bCs/>
          <w:szCs w:val="24"/>
        </w:rPr>
      </w:pPr>
    </w:p>
    <w:p w14:paraId="2F89230B" w14:textId="77777777" w:rsidR="00466DE7" w:rsidRPr="00A60883" w:rsidRDefault="00466DE7" w:rsidP="00466DE7">
      <w:pPr>
        <w:spacing w:after="0" w:line="480" w:lineRule="auto"/>
        <w:rPr>
          <w:rFonts w:ascii="Arial" w:hAnsi="Arial" w:cs="Arial"/>
          <w:bCs/>
          <w:szCs w:val="24"/>
        </w:rPr>
      </w:pPr>
    </w:p>
    <w:p w14:paraId="2F89230C" w14:textId="77777777" w:rsidR="00466DE7" w:rsidRPr="00E27C58" w:rsidRDefault="00466DE7" w:rsidP="00466DE7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  <w:color w:val="191919"/>
          <w:sz w:val="20"/>
          <w:szCs w:val="24"/>
        </w:rPr>
      </w:pPr>
      <w:r w:rsidRPr="00E27C58">
        <w:rPr>
          <w:rFonts w:ascii="Arial" w:hAnsi="Arial" w:cs="Arial"/>
          <w:color w:val="191919"/>
          <w:sz w:val="20"/>
          <w:szCs w:val="24"/>
          <w:vertAlign w:val="superscript"/>
        </w:rPr>
        <w:t>1</w:t>
      </w:r>
      <w:r w:rsidRPr="00E27C58">
        <w:rPr>
          <w:rFonts w:ascii="Arial" w:hAnsi="Arial" w:cs="Arial"/>
          <w:color w:val="191919"/>
          <w:sz w:val="20"/>
          <w:szCs w:val="24"/>
        </w:rPr>
        <w:t>Laboratory of Physiopharmacology, University of Antwerp, Universiteitsplein 1, 2610 Antwerp, Belgium</w:t>
      </w:r>
    </w:p>
    <w:p w14:paraId="2F89230D" w14:textId="77777777" w:rsidR="00466DE7" w:rsidRPr="00E27C58" w:rsidRDefault="00466DE7" w:rsidP="00466DE7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sz w:val="20"/>
        </w:rPr>
      </w:pPr>
      <w:r w:rsidRPr="00E27C58">
        <w:rPr>
          <w:rFonts w:ascii="Arial" w:eastAsia="Times New Roman" w:hAnsi="Arial" w:cs="Arial"/>
          <w:sz w:val="20"/>
          <w:vertAlign w:val="superscript"/>
        </w:rPr>
        <w:t>2</w:t>
      </w:r>
      <w:r w:rsidRPr="00E27C58">
        <w:rPr>
          <w:rFonts w:ascii="Arial" w:eastAsia="Times New Roman" w:hAnsi="Arial" w:cs="Arial"/>
          <w:sz w:val="20"/>
        </w:rPr>
        <w:t>VIB</w:t>
      </w:r>
      <w:r w:rsidRPr="00E27C58">
        <w:rPr>
          <w:rFonts w:ascii="Arial" w:hAnsi="Arial" w:cs="Arial"/>
          <w:sz w:val="20"/>
        </w:rPr>
        <w:t xml:space="preserve"> </w:t>
      </w:r>
      <w:r w:rsidRPr="00E27C58">
        <w:rPr>
          <w:rFonts w:ascii="Arial" w:eastAsia="Times New Roman" w:hAnsi="Arial" w:cs="Arial"/>
          <w:sz w:val="20"/>
        </w:rPr>
        <w:t>Department of Molecular Genetics, University of Antwerp, Universiteitsplein 1, 2610 Wilrijk, Antwerp, Belgium</w:t>
      </w:r>
    </w:p>
    <w:p w14:paraId="2F89230E" w14:textId="77777777" w:rsidR="00466DE7" w:rsidRPr="00D95439" w:rsidRDefault="00466DE7" w:rsidP="00466DE7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  <w:sz w:val="20"/>
        </w:rPr>
      </w:pPr>
      <w:r w:rsidRPr="00D95439">
        <w:rPr>
          <w:rFonts w:ascii="Arial" w:eastAsia="Times New Roman" w:hAnsi="Arial" w:cs="Arial"/>
          <w:sz w:val="20"/>
          <w:vertAlign w:val="superscript"/>
        </w:rPr>
        <w:t>3</w:t>
      </w:r>
      <w:r w:rsidRPr="00D95439">
        <w:rPr>
          <w:rFonts w:ascii="Arial" w:eastAsia="Times New Roman" w:hAnsi="Arial" w:cs="Arial"/>
          <w:sz w:val="20"/>
        </w:rPr>
        <w:t>Department of Cardiology, Middelheim Hospital, Lindendreef 1, 2020 Antwerp, Belgium</w:t>
      </w:r>
    </w:p>
    <w:p w14:paraId="2F89230F" w14:textId="77777777" w:rsidR="00466DE7" w:rsidRDefault="00466DE7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  <w:color w:val="000000"/>
          <w:sz w:val="20"/>
        </w:rPr>
      </w:pPr>
      <w:r>
        <w:rPr>
          <w:rFonts w:ascii="Arial" w:eastAsia="Times New Roman" w:hAnsi="Arial" w:cs="Arial"/>
          <w:sz w:val="20"/>
          <w:vertAlign w:val="superscript"/>
        </w:rPr>
        <w:t>4</w:t>
      </w:r>
      <w:r>
        <w:rPr>
          <w:rFonts w:ascii="Arial" w:eastAsia="Times New Roman" w:hAnsi="Arial" w:cs="Arial"/>
          <w:sz w:val="20"/>
        </w:rPr>
        <w:t>Department of Cardiology, University Hospital Antwerp, Wilrijkstraat 10, 2650 Edegem, Belgium</w:t>
      </w:r>
      <w:r>
        <w:rPr>
          <w:rFonts w:ascii="Arial" w:eastAsia="Times New Roman" w:hAnsi="Arial" w:cs="Arial"/>
          <w:sz w:val="20"/>
        </w:rPr>
        <w:br/>
      </w:r>
    </w:p>
    <w:p w14:paraId="2F892310" w14:textId="77777777" w:rsidR="00466DE7" w:rsidRDefault="00466DE7" w:rsidP="00466DE7">
      <w:pPr>
        <w:autoSpaceDE w:val="0"/>
        <w:autoSpaceDN w:val="0"/>
        <w:adjustRightInd w:val="0"/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 </w:t>
      </w:r>
    </w:p>
    <w:p w14:paraId="2F892311" w14:textId="1FA5C65D" w:rsidR="00466DE7" w:rsidRDefault="00466DE7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color w:val="000000"/>
        </w:rPr>
        <w:t xml:space="preserve">Correspondence to Vincent F Segers, </w:t>
      </w:r>
      <w:r>
        <w:rPr>
          <w:rFonts w:ascii="Arial" w:eastAsia="Times New Roman" w:hAnsi="Arial" w:cs="Arial"/>
        </w:rPr>
        <w:t>Laboratory of Physiopharmacology, University of Antwerp, Universiteitsplein 1, Building T, 2610 Wilrijk, Belgium.</w:t>
      </w:r>
      <w:r>
        <w:rPr>
          <w:rFonts w:ascii="Arial" w:eastAsia="Times New Roman" w:hAnsi="Arial" w:cs="Arial"/>
          <w:color w:val="000000"/>
        </w:rPr>
        <w:t xml:space="preserve"> Phone: </w:t>
      </w:r>
      <w:r>
        <w:rPr>
          <w:rFonts w:ascii="Arial" w:eastAsia="Times New Roman" w:hAnsi="Arial" w:cs="Arial"/>
        </w:rPr>
        <w:t>+323265</w:t>
      </w:r>
      <w:r w:rsidR="00290CAE">
        <w:rPr>
          <w:rFonts w:ascii="Arial" w:eastAsia="Times New Roman" w:hAnsi="Arial" w:cs="Arial"/>
        </w:rPr>
        <w:t>9138</w:t>
      </w:r>
      <w:r>
        <w:rPr>
          <w:rFonts w:ascii="Arial" w:eastAsia="Times New Roman" w:hAnsi="Arial" w:cs="Arial"/>
          <w:color w:val="000000"/>
        </w:rPr>
        <w:t>.</w:t>
      </w:r>
      <w:r>
        <w:rPr>
          <w:rFonts w:ascii="Arial" w:eastAsia="Times New Roman" w:hAnsi="Arial" w:cs="Arial"/>
        </w:rPr>
        <w:t xml:space="preserve"> Email address: </w:t>
      </w:r>
      <w:hyperlink r:id="rId7" w:history="1">
        <w:r w:rsidR="001E732F" w:rsidRPr="00CD0CE3">
          <w:rPr>
            <w:rStyle w:val="Hyperlink"/>
            <w:rFonts w:ascii="Arial" w:eastAsia="Times New Roman" w:hAnsi="Arial" w:cs="Arial"/>
          </w:rPr>
          <w:t>vincent.segers@uantwerpen.be</w:t>
        </w:r>
      </w:hyperlink>
    </w:p>
    <w:p w14:paraId="57972ACF" w14:textId="67EE78F9" w:rsidR="001E732F" w:rsidRDefault="001E732F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</w:rPr>
      </w:pPr>
    </w:p>
    <w:p w14:paraId="49EF3514" w14:textId="10033A7C" w:rsidR="001E732F" w:rsidRDefault="001E732F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</w:rPr>
      </w:pPr>
    </w:p>
    <w:p w14:paraId="2F892312" w14:textId="77777777" w:rsidR="00466DE7" w:rsidRDefault="00466DE7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</w:rPr>
      </w:pPr>
    </w:p>
    <w:p w14:paraId="2F892313" w14:textId="1AB0BA46" w:rsidR="00466DE7" w:rsidRPr="00466DE7" w:rsidRDefault="00466DE7" w:rsidP="00466DE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480" w:lineRule="auto"/>
        <w:rPr>
          <w:rFonts w:ascii="Arial" w:eastAsia="Times New Roman" w:hAnsi="Arial" w:cs="Arial"/>
          <w:b/>
          <w:color w:val="FF0000"/>
        </w:rPr>
      </w:pPr>
    </w:p>
    <w:p w14:paraId="2F892314" w14:textId="0D74C7EA" w:rsidR="00316C9E" w:rsidRDefault="00466DE7" w:rsidP="00466DE7">
      <w:pPr>
        <w:rPr>
          <w:b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</w:rPr>
        <w:br w:type="page"/>
      </w:r>
      <w:r w:rsidR="00D30FBB">
        <w:rPr>
          <w:b/>
          <w:noProof/>
          <w:shd w:val="clear" w:color="auto" w:fill="FFFFFF"/>
          <w:lang w:val="nl-BE" w:eastAsia="nl-BE"/>
        </w:rPr>
        <w:lastRenderedPageBreak/>
        <w:drawing>
          <wp:anchor distT="0" distB="0" distL="114300" distR="114300" simplePos="0" relativeHeight="251661824" behindDoc="0" locked="0" layoutInCell="1" allowOverlap="1" wp14:anchorId="5185BCE3" wp14:editId="1CEEC8DC">
            <wp:simplePos x="0" y="0"/>
            <wp:positionH relativeFrom="column">
              <wp:posOffset>-46355</wp:posOffset>
            </wp:positionH>
            <wp:positionV relativeFrom="paragraph">
              <wp:posOffset>177165</wp:posOffset>
            </wp:positionV>
            <wp:extent cx="5005070" cy="8712200"/>
            <wp:effectExtent l="0" t="0" r="5080" b="0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871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31E">
        <w:rPr>
          <w:b/>
          <w:shd w:val="clear" w:color="auto" w:fill="FFFFFF"/>
        </w:rPr>
        <w:t>Supplementary Figure 1</w:t>
      </w:r>
    </w:p>
    <w:p w14:paraId="49D5E148" w14:textId="6AD0E698" w:rsidR="00FD431E" w:rsidRDefault="00FD431E" w:rsidP="00466DE7">
      <w:pPr>
        <w:rPr>
          <w:b/>
          <w:shd w:val="clear" w:color="auto" w:fill="FFFFFF"/>
        </w:rPr>
      </w:pPr>
    </w:p>
    <w:p w14:paraId="5EB7266D" w14:textId="4AFAAABC" w:rsidR="00FD431E" w:rsidRDefault="00FD431E">
      <w:pPr>
        <w:spacing w:after="200" w:line="276" w:lineRule="auto"/>
        <w:jc w:val="left"/>
        <w:rPr>
          <w:b/>
          <w:shd w:val="clear" w:color="auto" w:fill="FFFFFF"/>
        </w:rPr>
      </w:pPr>
      <w:r>
        <w:rPr>
          <w:b/>
          <w:shd w:val="clear" w:color="auto" w:fill="FFFFFF"/>
        </w:rPr>
        <w:br w:type="page"/>
      </w:r>
    </w:p>
    <w:p w14:paraId="36162FDD" w14:textId="7BDEFA39" w:rsidR="007C1CF6" w:rsidRDefault="007C1CF6" w:rsidP="008D11C5">
      <w:r w:rsidRPr="004D25D8">
        <w:rPr>
          <w:b/>
        </w:rPr>
        <w:lastRenderedPageBreak/>
        <w:t>Supplementary Figure 1.</w:t>
      </w:r>
      <w:r w:rsidR="004D25D8">
        <w:t xml:space="preserve"> </w:t>
      </w:r>
      <w:r w:rsidR="00B0741E" w:rsidRPr="00E13EE0">
        <w:rPr>
          <w:b/>
        </w:rPr>
        <w:t xml:space="preserve">Pathway analysis of the </w:t>
      </w:r>
      <w:r w:rsidR="00FE3397">
        <w:rPr>
          <w:b/>
        </w:rPr>
        <w:t>brown</w:t>
      </w:r>
      <w:r w:rsidR="00B0741E" w:rsidRPr="00E13EE0">
        <w:rPr>
          <w:b/>
        </w:rPr>
        <w:t xml:space="preserve"> module generated by co-expression network analysis. A) </w:t>
      </w:r>
      <w:r w:rsidR="00B0741E" w:rsidRPr="00E13EE0">
        <w:t xml:space="preserve">Eigengene expression in 9 neonatal CMVEC samples and 5 adult CMVEC samples. The eigengene is the first principal component of the module and serves as a summary of </w:t>
      </w:r>
      <w:r w:rsidR="00B0741E">
        <w:t xml:space="preserve">the expression profiles of </w:t>
      </w:r>
      <w:r w:rsidR="00B0741E" w:rsidRPr="00E13EE0">
        <w:t>all gene</w:t>
      </w:r>
      <w:r w:rsidR="00B0741E">
        <w:t>s</w:t>
      </w:r>
      <w:r w:rsidR="00B0741E" w:rsidRPr="00E13EE0">
        <w:t xml:space="preserve"> in the </w:t>
      </w:r>
      <w:r w:rsidR="00FE3397">
        <w:t>brown</w:t>
      </w:r>
      <w:r w:rsidR="00B0741E" w:rsidRPr="00E13EE0">
        <w:t xml:space="preserve"> module. </w:t>
      </w:r>
      <w:r w:rsidR="00B0741E" w:rsidRPr="00E13EE0">
        <w:rPr>
          <w:b/>
        </w:rPr>
        <w:t>B)</w:t>
      </w:r>
      <w:r w:rsidR="00B0741E" w:rsidRPr="00E13EE0">
        <w:t xml:space="preserve"> </w:t>
      </w:r>
      <w:r w:rsidR="00B0741E">
        <w:t>Heatmap</w:t>
      </w:r>
      <w:r w:rsidR="00B0741E" w:rsidRPr="00E13EE0">
        <w:t xml:space="preserve"> of all significantly up- or down-regulated genes in the </w:t>
      </w:r>
      <w:r w:rsidR="00FE3397">
        <w:t>brown</w:t>
      </w:r>
      <w:r w:rsidR="00B0741E" w:rsidRPr="00E13EE0">
        <w:t xml:space="preserve"> module. </w:t>
      </w:r>
      <w:r w:rsidR="00B0741E" w:rsidRPr="00E13EE0">
        <w:rPr>
          <w:b/>
        </w:rPr>
        <w:t>C)</w:t>
      </w:r>
      <w:r w:rsidR="00B0741E">
        <w:rPr>
          <w:b/>
        </w:rPr>
        <w:t xml:space="preserve"> </w:t>
      </w:r>
      <w:r w:rsidR="00B0741E" w:rsidRPr="00D55FE5">
        <w:t xml:space="preserve">ClueGO pathway analysis showing all pathways related to the differential gene expression between neonatal and adult CMVECs in the </w:t>
      </w:r>
      <w:r w:rsidR="00FE3397">
        <w:t>brown</w:t>
      </w:r>
      <w:r w:rsidR="00B0741E" w:rsidRPr="00D55FE5">
        <w:t xml:space="preserve"> module. </w:t>
      </w:r>
      <w:r w:rsidR="00B0741E" w:rsidRPr="00E13EE0">
        <w:rPr>
          <w:b/>
        </w:rPr>
        <w:t>D)</w:t>
      </w:r>
      <w:r w:rsidR="00B0741E" w:rsidRPr="00B0741E">
        <w:t xml:space="preserve"> fGSEA pathway analysis showing most relevant gene ontology pathways </w:t>
      </w:r>
      <w:r w:rsidR="00B0741E" w:rsidRPr="00D55FE5">
        <w:t xml:space="preserve">related to the differential gene expression between neonatal and adult CMVECs in the </w:t>
      </w:r>
      <w:r w:rsidR="00FE3397">
        <w:t>brown</w:t>
      </w:r>
      <w:r w:rsidR="00B0741E" w:rsidRPr="00D55FE5">
        <w:t xml:space="preserve"> module.</w:t>
      </w:r>
      <w:r w:rsidR="00B0741E">
        <w:t xml:space="preserve"> The upper part of the table relates to pathways up-regulated in neonatal CMVECs, whereas the lower part of the table relates to pathways up-regulated in adult CMVECs.</w:t>
      </w:r>
    </w:p>
    <w:p w14:paraId="1507017D" w14:textId="77777777" w:rsidR="00D30FBB" w:rsidRDefault="00D30FBB" w:rsidP="008D11C5"/>
    <w:p w14:paraId="10359218" w14:textId="77777777" w:rsidR="00D30FBB" w:rsidRDefault="00D30FBB">
      <w:pPr>
        <w:spacing w:after="200" w:line="276" w:lineRule="auto"/>
        <w:jc w:val="left"/>
      </w:pPr>
      <w:r>
        <w:br w:type="page"/>
      </w:r>
    </w:p>
    <w:p w14:paraId="3432539F" w14:textId="0CFD2F28" w:rsidR="00D30FBB" w:rsidRDefault="004F4259" w:rsidP="008D11C5">
      <w:pPr>
        <w:rPr>
          <w:b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2848" behindDoc="0" locked="0" layoutInCell="1" allowOverlap="1" wp14:anchorId="1262E241" wp14:editId="7AC91449">
            <wp:simplePos x="0" y="0"/>
            <wp:positionH relativeFrom="column">
              <wp:posOffset>14605</wp:posOffset>
            </wp:positionH>
            <wp:positionV relativeFrom="paragraph">
              <wp:posOffset>183515</wp:posOffset>
            </wp:positionV>
            <wp:extent cx="5309870" cy="8699500"/>
            <wp:effectExtent l="0" t="0" r="5080" b="635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869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Supplementary Figure 2</w:t>
      </w:r>
    </w:p>
    <w:p w14:paraId="07605278" w14:textId="6078C6A1" w:rsidR="00D30FBB" w:rsidRDefault="00D30FBB" w:rsidP="008D11C5"/>
    <w:p w14:paraId="7AF17E91" w14:textId="5391E818" w:rsidR="007C1CF6" w:rsidRDefault="007C1CF6" w:rsidP="008D11C5">
      <w:r w:rsidRPr="004D25D8">
        <w:rPr>
          <w:b/>
        </w:rPr>
        <w:lastRenderedPageBreak/>
        <w:t>Supplementary Figure 2.</w:t>
      </w:r>
      <w:r w:rsidR="004D25D8">
        <w:t xml:space="preserve"> </w:t>
      </w:r>
      <w:r w:rsidR="00B0741E" w:rsidRPr="00E13EE0">
        <w:rPr>
          <w:b/>
        </w:rPr>
        <w:t xml:space="preserve">Pathway analysis of the </w:t>
      </w:r>
      <w:r w:rsidR="00FE3397">
        <w:rPr>
          <w:b/>
        </w:rPr>
        <w:t>turquoise</w:t>
      </w:r>
      <w:r w:rsidR="00B0741E" w:rsidRPr="00E13EE0">
        <w:rPr>
          <w:b/>
        </w:rPr>
        <w:t xml:space="preserve"> module generated by co-expression network analysis. A) </w:t>
      </w:r>
      <w:r w:rsidR="00B0741E" w:rsidRPr="00E13EE0">
        <w:t xml:space="preserve">Eigengene expression in 9 neonatal CMVEC samples and 5 adult CMVEC samples. The eigengene is the first principal component of the module and serves as a summary of </w:t>
      </w:r>
      <w:r w:rsidR="00B0741E">
        <w:t xml:space="preserve">the expression profiles of </w:t>
      </w:r>
      <w:r w:rsidR="00B0741E" w:rsidRPr="00E13EE0">
        <w:t>all gene</w:t>
      </w:r>
      <w:r w:rsidR="00B0741E">
        <w:t>s</w:t>
      </w:r>
      <w:r w:rsidR="00B0741E" w:rsidRPr="00E13EE0">
        <w:t xml:space="preserve"> in the </w:t>
      </w:r>
      <w:r w:rsidR="00FE3397">
        <w:t>turquoise</w:t>
      </w:r>
      <w:r w:rsidR="00B0741E" w:rsidRPr="00E13EE0">
        <w:t xml:space="preserve"> module. </w:t>
      </w:r>
      <w:r w:rsidR="00B0741E" w:rsidRPr="00E13EE0">
        <w:rPr>
          <w:b/>
        </w:rPr>
        <w:t>B)</w:t>
      </w:r>
      <w:r w:rsidR="00B0741E" w:rsidRPr="00E13EE0">
        <w:t xml:space="preserve"> </w:t>
      </w:r>
      <w:r w:rsidR="00B0741E">
        <w:t>Heatmap</w:t>
      </w:r>
      <w:r w:rsidR="00B0741E" w:rsidRPr="00E13EE0">
        <w:t xml:space="preserve"> of all significantly up- or down-regulated genes in the </w:t>
      </w:r>
      <w:r w:rsidR="00FE3397">
        <w:t>turquoise</w:t>
      </w:r>
      <w:r w:rsidR="00B0741E" w:rsidRPr="00E13EE0">
        <w:t xml:space="preserve"> module. </w:t>
      </w:r>
      <w:r w:rsidR="00B0741E" w:rsidRPr="00E13EE0">
        <w:rPr>
          <w:b/>
        </w:rPr>
        <w:t>C)</w:t>
      </w:r>
      <w:r w:rsidR="00B0741E">
        <w:rPr>
          <w:b/>
        </w:rPr>
        <w:t xml:space="preserve"> </w:t>
      </w:r>
      <w:r w:rsidR="00B0741E" w:rsidRPr="00D55FE5">
        <w:t xml:space="preserve">ClueGO pathway analysis showing all pathways related to the differential gene expression between neonatal and adult CMVECs in the </w:t>
      </w:r>
      <w:r w:rsidR="00FE3397">
        <w:t>turquoise</w:t>
      </w:r>
      <w:r w:rsidR="00B0741E" w:rsidRPr="00D55FE5">
        <w:t xml:space="preserve"> module. </w:t>
      </w:r>
      <w:r w:rsidR="00B0741E" w:rsidRPr="00E13EE0">
        <w:rPr>
          <w:b/>
        </w:rPr>
        <w:t>D)</w:t>
      </w:r>
      <w:r w:rsidR="00B0741E" w:rsidRPr="00B0741E">
        <w:t xml:space="preserve"> fGSEA pathway analysis showing most relevant gene ontology pathways </w:t>
      </w:r>
      <w:r w:rsidR="00B0741E" w:rsidRPr="00D55FE5">
        <w:t xml:space="preserve">related to the differential gene expression between neonatal and adult CMVECs in the </w:t>
      </w:r>
      <w:r w:rsidR="00FE3397">
        <w:t>turquoise</w:t>
      </w:r>
      <w:r w:rsidR="00B0741E" w:rsidRPr="00D55FE5">
        <w:t xml:space="preserve"> module.</w:t>
      </w:r>
      <w:r w:rsidR="00B0741E">
        <w:t xml:space="preserve"> The upper part of the table relates to pathways up-regulated in neonatal CMVECs, whereas the lower part of the table relates to pathways up-regulated in adult CMVECs.</w:t>
      </w:r>
    </w:p>
    <w:p w14:paraId="1F81CAAB" w14:textId="77777777" w:rsidR="004F4259" w:rsidRDefault="004F4259" w:rsidP="008D11C5"/>
    <w:p w14:paraId="69DA0BB4" w14:textId="77777777" w:rsidR="004F4259" w:rsidRDefault="004F4259" w:rsidP="008D11C5"/>
    <w:p w14:paraId="2F251C9B" w14:textId="77777777" w:rsidR="004F4259" w:rsidRDefault="004F4259">
      <w:pPr>
        <w:spacing w:after="200" w:line="276" w:lineRule="auto"/>
        <w:jc w:val="left"/>
      </w:pPr>
      <w:r>
        <w:br w:type="page"/>
      </w:r>
    </w:p>
    <w:p w14:paraId="49F3F9F3" w14:textId="5D893CB2" w:rsidR="004F4259" w:rsidRDefault="00506301" w:rsidP="008D11C5">
      <w:pPr>
        <w:rPr>
          <w:b/>
        </w:rPr>
      </w:pPr>
      <w:r>
        <w:rPr>
          <w:noProof/>
          <w:lang w:val="nl-BE" w:eastAsia="nl-BE"/>
        </w:rPr>
        <w:lastRenderedPageBreak/>
        <w:drawing>
          <wp:anchor distT="0" distB="0" distL="114300" distR="114300" simplePos="0" relativeHeight="251663872" behindDoc="0" locked="0" layoutInCell="1" allowOverlap="1" wp14:anchorId="221DFAED" wp14:editId="137CBD34">
            <wp:simplePos x="0" y="0"/>
            <wp:positionH relativeFrom="column">
              <wp:posOffset>-149225</wp:posOffset>
            </wp:positionH>
            <wp:positionV relativeFrom="paragraph">
              <wp:posOffset>239395</wp:posOffset>
            </wp:positionV>
            <wp:extent cx="6010910" cy="8516620"/>
            <wp:effectExtent l="0" t="0" r="8890" b="0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259">
        <w:rPr>
          <w:b/>
        </w:rPr>
        <w:t>Supplementary Figure 3</w:t>
      </w:r>
    </w:p>
    <w:p w14:paraId="54113B4F" w14:textId="060A8B28" w:rsidR="004F4259" w:rsidRDefault="004F4259" w:rsidP="008D11C5"/>
    <w:p w14:paraId="043EF4CE" w14:textId="549F898F" w:rsidR="007C1CF6" w:rsidRDefault="007C1CF6" w:rsidP="008D11C5">
      <w:r w:rsidRPr="004D25D8">
        <w:rPr>
          <w:b/>
        </w:rPr>
        <w:t>Supplementary Figure 3.</w:t>
      </w:r>
      <w:r>
        <w:t xml:space="preserve"> </w:t>
      </w:r>
      <w:r w:rsidR="00B0741E" w:rsidRPr="00E13EE0">
        <w:rPr>
          <w:b/>
        </w:rPr>
        <w:t xml:space="preserve">Pathway analysis of the </w:t>
      </w:r>
      <w:r w:rsidR="00FE3397">
        <w:rPr>
          <w:b/>
        </w:rPr>
        <w:t>grey</w:t>
      </w:r>
      <w:r w:rsidR="00B0741E" w:rsidRPr="00E13EE0">
        <w:rPr>
          <w:b/>
        </w:rPr>
        <w:t xml:space="preserve"> module generated by co-expression network analysis. A) </w:t>
      </w:r>
      <w:r w:rsidR="00B0741E">
        <w:t>Heatmap</w:t>
      </w:r>
      <w:r w:rsidR="00B0741E" w:rsidRPr="00E13EE0">
        <w:t xml:space="preserve"> of all significantly up- or down-regulated genes in the </w:t>
      </w:r>
      <w:r w:rsidR="00FE3397">
        <w:t>grey</w:t>
      </w:r>
      <w:r w:rsidR="00B0741E" w:rsidRPr="00E13EE0">
        <w:t xml:space="preserve"> module. </w:t>
      </w:r>
      <w:r w:rsidR="00FE3397">
        <w:rPr>
          <w:b/>
        </w:rPr>
        <w:t>B</w:t>
      </w:r>
      <w:r w:rsidR="00B0741E" w:rsidRPr="00E13EE0">
        <w:rPr>
          <w:b/>
        </w:rPr>
        <w:t>)</w:t>
      </w:r>
      <w:r w:rsidR="00B0741E">
        <w:rPr>
          <w:b/>
        </w:rPr>
        <w:t xml:space="preserve"> </w:t>
      </w:r>
      <w:r w:rsidR="00B0741E" w:rsidRPr="00D55FE5">
        <w:t xml:space="preserve">ClueGO pathway analysis showing all pathways related to the differential gene expression between neonatal and adult CMVECs in the </w:t>
      </w:r>
      <w:r w:rsidR="00FE3397">
        <w:t>grey</w:t>
      </w:r>
      <w:r w:rsidR="00B0741E" w:rsidRPr="00D55FE5">
        <w:t xml:space="preserve"> module. </w:t>
      </w:r>
      <w:r w:rsidR="00FE3397">
        <w:rPr>
          <w:b/>
        </w:rPr>
        <w:t>C</w:t>
      </w:r>
      <w:r w:rsidR="00B0741E" w:rsidRPr="00E13EE0">
        <w:rPr>
          <w:b/>
        </w:rPr>
        <w:t>)</w:t>
      </w:r>
      <w:r w:rsidR="00B0741E" w:rsidRPr="00B0741E">
        <w:t xml:space="preserve"> fGSEA pathway analysis showing most relevant gene ontology pathways </w:t>
      </w:r>
      <w:r w:rsidR="00B0741E" w:rsidRPr="00D55FE5">
        <w:t xml:space="preserve">related to the differential gene expression between neonatal and adult CMVECs in the </w:t>
      </w:r>
      <w:r w:rsidR="00FE3397">
        <w:t>grey</w:t>
      </w:r>
      <w:r w:rsidR="00B0741E" w:rsidRPr="00D55FE5">
        <w:t xml:space="preserve"> module.</w:t>
      </w:r>
      <w:r w:rsidR="00B0741E">
        <w:t xml:space="preserve"> The upper part of the table relates to pathways up-regulated in neonatal CMVECs, whereas the lower part of the table relates to pathways up-regulated in adult CMVECs.</w:t>
      </w:r>
    </w:p>
    <w:p w14:paraId="64862C4C" w14:textId="7E2740DC" w:rsidR="0083482E" w:rsidRPr="00977027" w:rsidRDefault="0083482E" w:rsidP="008D11C5"/>
    <w:sectPr w:rsidR="0083482E" w:rsidRPr="00977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41A92" w14:textId="77777777" w:rsidR="006E2E1F" w:rsidRDefault="006E2E1F" w:rsidP="008C2B15">
      <w:pPr>
        <w:spacing w:after="0" w:line="240" w:lineRule="auto"/>
      </w:pPr>
      <w:r>
        <w:separator/>
      </w:r>
    </w:p>
  </w:endnote>
  <w:endnote w:type="continuationSeparator" w:id="0">
    <w:p w14:paraId="5CD81FCB" w14:textId="77777777" w:rsidR="006E2E1F" w:rsidRDefault="006E2E1F" w:rsidP="008C2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AF52C" w14:textId="77777777" w:rsidR="006E2E1F" w:rsidRDefault="006E2E1F" w:rsidP="008C2B15">
      <w:pPr>
        <w:spacing w:after="0" w:line="240" w:lineRule="auto"/>
      </w:pPr>
      <w:r>
        <w:separator/>
      </w:r>
    </w:p>
  </w:footnote>
  <w:footnote w:type="continuationSeparator" w:id="0">
    <w:p w14:paraId="0D6FFD81" w14:textId="77777777" w:rsidR="006E2E1F" w:rsidRDefault="006E2E1F" w:rsidP="008C2B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asic Res in Cardi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arrt22929ww2ue2zso5pxpjvr9wsz09zvv9&quot;&gt;CMVEC transcriptome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/record-ids&gt;&lt;/item&gt;&lt;/Libraries&gt;"/>
  </w:docVars>
  <w:rsids>
    <w:rsidRoot w:val="00024FAF"/>
    <w:rsid w:val="00001F8A"/>
    <w:rsid w:val="0000326C"/>
    <w:rsid w:val="00006971"/>
    <w:rsid w:val="00007033"/>
    <w:rsid w:val="000113DD"/>
    <w:rsid w:val="00012953"/>
    <w:rsid w:val="0001557C"/>
    <w:rsid w:val="00017166"/>
    <w:rsid w:val="0002313E"/>
    <w:rsid w:val="00024FAF"/>
    <w:rsid w:val="0002536F"/>
    <w:rsid w:val="00026D42"/>
    <w:rsid w:val="00034ED7"/>
    <w:rsid w:val="00036E24"/>
    <w:rsid w:val="00042B1E"/>
    <w:rsid w:val="00045232"/>
    <w:rsid w:val="00050E9D"/>
    <w:rsid w:val="00062F05"/>
    <w:rsid w:val="00064155"/>
    <w:rsid w:val="00075211"/>
    <w:rsid w:val="00083D58"/>
    <w:rsid w:val="000855D6"/>
    <w:rsid w:val="00092AA9"/>
    <w:rsid w:val="00093A92"/>
    <w:rsid w:val="000A135B"/>
    <w:rsid w:val="000A1FC0"/>
    <w:rsid w:val="000B2978"/>
    <w:rsid w:val="000B48B7"/>
    <w:rsid w:val="000D40AE"/>
    <w:rsid w:val="000E1841"/>
    <w:rsid w:val="000E3716"/>
    <w:rsid w:val="000F5545"/>
    <w:rsid w:val="000F797C"/>
    <w:rsid w:val="001006C2"/>
    <w:rsid w:val="001108B8"/>
    <w:rsid w:val="00110D5C"/>
    <w:rsid w:val="00121AF3"/>
    <w:rsid w:val="00125C09"/>
    <w:rsid w:val="0013390C"/>
    <w:rsid w:val="00134089"/>
    <w:rsid w:val="00134B7D"/>
    <w:rsid w:val="00137290"/>
    <w:rsid w:val="001439DE"/>
    <w:rsid w:val="001520DE"/>
    <w:rsid w:val="00155FC8"/>
    <w:rsid w:val="00156D2E"/>
    <w:rsid w:val="00162702"/>
    <w:rsid w:val="001662F7"/>
    <w:rsid w:val="001701FE"/>
    <w:rsid w:val="0018222E"/>
    <w:rsid w:val="00183AD2"/>
    <w:rsid w:val="001A5039"/>
    <w:rsid w:val="001B1146"/>
    <w:rsid w:val="001B5A1B"/>
    <w:rsid w:val="001C3909"/>
    <w:rsid w:val="001C499D"/>
    <w:rsid w:val="001C628C"/>
    <w:rsid w:val="001D2166"/>
    <w:rsid w:val="001E3291"/>
    <w:rsid w:val="001E732F"/>
    <w:rsid w:val="00200D60"/>
    <w:rsid w:val="00202C55"/>
    <w:rsid w:val="00204E0F"/>
    <w:rsid w:val="0020569C"/>
    <w:rsid w:val="002102EF"/>
    <w:rsid w:val="00220563"/>
    <w:rsid w:val="00223216"/>
    <w:rsid w:val="00226A04"/>
    <w:rsid w:val="00226E2C"/>
    <w:rsid w:val="00230DEC"/>
    <w:rsid w:val="00231474"/>
    <w:rsid w:val="0023158E"/>
    <w:rsid w:val="002321DC"/>
    <w:rsid w:val="00233275"/>
    <w:rsid w:val="00242D86"/>
    <w:rsid w:val="002456B3"/>
    <w:rsid w:val="00253EC6"/>
    <w:rsid w:val="0027576C"/>
    <w:rsid w:val="0027583B"/>
    <w:rsid w:val="002801A4"/>
    <w:rsid w:val="00285260"/>
    <w:rsid w:val="002852D1"/>
    <w:rsid w:val="00290CAE"/>
    <w:rsid w:val="002964CD"/>
    <w:rsid w:val="002A0F00"/>
    <w:rsid w:val="002A154B"/>
    <w:rsid w:val="002A483C"/>
    <w:rsid w:val="002A7609"/>
    <w:rsid w:val="002B3CFD"/>
    <w:rsid w:val="002C12E2"/>
    <w:rsid w:val="002C2B0B"/>
    <w:rsid w:val="002C6271"/>
    <w:rsid w:val="002D0073"/>
    <w:rsid w:val="002D07A9"/>
    <w:rsid w:val="002D486C"/>
    <w:rsid w:val="002D517D"/>
    <w:rsid w:val="002D6F6A"/>
    <w:rsid w:val="002E722D"/>
    <w:rsid w:val="002F16C1"/>
    <w:rsid w:val="002F3029"/>
    <w:rsid w:val="002F7529"/>
    <w:rsid w:val="003048FE"/>
    <w:rsid w:val="00316C9E"/>
    <w:rsid w:val="00320A3B"/>
    <w:rsid w:val="0033008F"/>
    <w:rsid w:val="00335A3B"/>
    <w:rsid w:val="003421B4"/>
    <w:rsid w:val="00343975"/>
    <w:rsid w:val="003453CE"/>
    <w:rsid w:val="0034547A"/>
    <w:rsid w:val="00351FF3"/>
    <w:rsid w:val="0036744B"/>
    <w:rsid w:val="00371BD0"/>
    <w:rsid w:val="003738D6"/>
    <w:rsid w:val="0037685F"/>
    <w:rsid w:val="00382E6B"/>
    <w:rsid w:val="00386D8C"/>
    <w:rsid w:val="003875B4"/>
    <w:rsid w:val="00390AFC"/>
    <w:rsid w:val="003911A1"/>
    <w:rsid w:val="00391B96"/>
    <w:rsid w:val="003942C2"/>
    <w:rsid w:val="00395154"/>
    <w:rsid w:val="003A193D"/>
    <w:rsid w:val="003A1A6F"/>
    <w:rsid w:val="003A650D"/>
    <w:rsid w:val="003A7470"/>
    <w:rsid w:val="003B022E"/>
    <w:rsid w:val="003B0BA7"/>
    <w:rsid w:val="003C388A"/>
    <w:rsid w:val="003C4B73"/>
    <w:rsid w:val="003D6EE7"/>
    <w:rsid w:val="003E329E"/>
    <w:rsid w:val="003E5A8A"/>
    <w:rsid w:val="003E637E"/>
    <w:rsid w:val="003F2223"/>
    <w:rsid w:val="003F396D"/>
    <w:rsid w:val="00400260"/>
    <w:rsid w:val="004024C4"/>
    <w:rsid w:val="00405B35"/>
    <w:rsid w:val="00414327"/>
    <w:rsid w:val="00416C24"/>
    <w:rsid w:val="004257F7"/>
    <w:rsid w:val="00427811"/>
    <w:rsid w:val="00431BCC"/>
    <w:rsid w:val="00433238"/>
    <w:rsid w:val="00445707"/>
    <w:rsid w:val="004502C2"/>
    <w:rsid w:val="00454423"/>
    <w:rsid w:val="004606F8"/>
    <w:rsid w:val="00460FCF"/>
    <w:rsid w:val="00466DE7"/>
    <w:rsid w:val="004712B4"/>
    <w:rsid w:val="00482266"/>
    <w:rsid w:val="0048229D"/>
    <w:rsid w:val="0048334B"/>
    <w:rsid w:val="00497896"/>
    <w:rsid w:val="004A57BD"/>
    <w:rsid w:val="004B3D5C"/>
    <w:rsid w:val="004B735E"/>
    <w:rsid w:val="004D03E0"/>
    <w:rsid w:val="004D25D8"/>
    <w:rsid w:val="004E4F92"/>
    <w:rsid w:val="004E6C0A"/>
    <w:rsid w:val="004F4259"/>
    <w:rsid w:val="004F6C81"/>
    <w:rsid w:val="00505F2E"/>
    <w:rsid w:val="00506301"/>
    <w:rsid w:val="00506B2D"/>
    <w:rsid w:val="00506CA5"/>
    <w:rsid w:val="00507ADB"/>
    <w:rsid w:val="00521D79"/>
    <w:rsid w:val="0052364F"/>
    <w:rsid w:val="00530B7C"/>
    <w:rsid w:val="0054063B"/>
    <w:rsid w:val="00540B22"/>
    <w:rsid w:val="005477CB"/>
    <w:rsid w:val="00554A89"/>
    <w:rsid w:val="00555EF2"/>
    <w:rsid w:val="00564AC9"/>
    <w:rsid w:val="00566D54"/>
    <w:rsid w:val="005713A4"/>
    <w:rsid w:val="00585D0D"/>
    <w:rsid w:val="005879E6"/>
    <w:rsid w:val="005A1021"/>
    <w:rsid w:val="005A35CA"/>
    <w:rsid w:val="005A4156"/>
    <w:rsid w:val="005A592A"/>
    <w:rsid w:val="005A62CB"/>
    <w:rsid w:val="005B01E0"/>
    <w:rsid w:val="005B4F90"/>
    <w:rsid w:val="005B530D"/>
    <w:rsid w:val="005F73C1"/>
    <w:rsid w:val="006033FE"/>
    <w:rsid w:val="006065F3"/>
    <w:rsid w:val="006076E2"/>
    <w:rsid w:val="00617E51"/>
    <w:rsid w:val="00622777"/>
    <w:rsid w:val="00623424"/>
    <w:rsid w:val="00626AEA"/>
    <w:rsid w:val="006303AC"/>
    <w:rsid w:val="00630490"/>
    <w:rsid w:val="00630604"/>
    <w:rsid w:val="00635324"/>
    <w:rsid w:val="00640F78"/>
    <w:rsid w:val="00644354"/>
    <w:rsid w:val="006518EA"/>
    <w:rsid w:val="00656C2A"/>
    <w:rsid w:val="00656C83"/>
    <w:rsid w:val="0067683A"/>
    <w:rsid w:val="00677B96"/>
    <w:rsid w:val="006A153B"/>
    <w:rsid w:val="006D47E3"/>
    <w:rsid w:val="006D5D41"/>
    <w:rsid w:val="006E2E1F"/>
    <w:rsid w:val="006E3FE9"/>
    <w:rsid w:val="006E7933"/>
    <w:rsid w:val="006F4F85"/>
    <w:rsid w:val="006F7932"/>
    <w:rsid w:val="00700EB0"/>
    <w:rsid w:val="00701056"/>
    <w:rsid w:val="00707475"/>
    <w:rsid w:val="00713FE5"/>
    <w:rsid w:val="00714E67"/>
    <w:rsid w:val="00716050"/>
    <w:rsid w:val="00727537"/>
    <w:rsid w:val="007307D8"/>
    <w:rsid w:val="00746124"/>
    <w:rsid w:val="00746B04"/>
    <w:rsid w:val="00747E2F"/>
    <w:rsid w:val="00756826"/>
    <w:rsid w:val="00757139"/>
    <w:rsid w:val="00767973"/>
    <w:rsid w:val="00767A4C"/>
    <w:rsid w:val="00767DD0"/>
    <w:rsid w:val="00771508"/>
    <w:rsid w:val="007743DD"/>
    <w:rsid w:val="00781AD7"/>
    <w:rsid w:val="00784236"/>
    <w:rsid w:val="00794F22"/>
    <w:rsid w:val="00795128"/>
    <w:rsid w:val="007B249D"/>
    <w:rsid w:val="007B5C62"/>
    <w:rsid w:val="007B7905"/>
    <w:rsid w:val="007C1CF6"/>
    <w:rsid w:val="007D076F"/>
    <w:rsid w:val="007D24B0"/>
    <w:rsid w:val="007D2D4B"/>
    <w:rsid w:val="007D74AE"/>
    <w:rsid w:val="00804CE8"/>
    <w:rsid w:val="0081167B"/>
    <w:rsid w:val="0082266B"/>
    <w:rsid w:val="00822C73"/>
    <w:rsid w:val="00822C97"/>
    <w:rsid w:val="008249C5"/>
    <w:rsid w:val="008333C5"/>
    <w:rsid w:val="0083482E"/>
    <w:rsid w:val="00835806"/>
    <w:rsid w:val="0083717E"/>
    <w:rsid w:val="00847A34"/>
    <w:rsid w:val="00852C6A"/>
    <w:rsid w:val="008541DA"/>
    <w:rsid w:val="008822FF"/>
    <w:rsid w:val="008828FB"/>
    <w:rsid w:val="00895997"/>
    <w:rsid w:val="008A077B"/>
    <w:rsid w:val="008A43D0"/>
    <w:rsid w:val="008A68CD"/>
    <w:rsid w:val="008B7100"/>
    <w:rsid w:val="008C2B15"/>
    <w:rsid w:val="008D11C5"/>
    <w:rsid w:val="008D3079"/>
    <w:rsid w:val="008D6698"/>
    <w:rsid w:val="008F0C00"/>
    <w:rsid w:val="008F215D"/>
    <w:rsid w:val="008F2482"/>
    <w:rsid w:val="008F307B"/>
    <w:rsid w:val="008F358D"/>
    <w:rsid w:val="008F713A"/>
    <w:rsid w:val="00912E7B"/>
    <w:rsid w:val="0091388E"/>
    <w:rsid w:val="00921398"/>
    <w:rsid w:val="00926376"/>
    <w:rsid w:val="00935640"/>
    <w:rsid w:val="00941E67"/>
    <w:rsid w:val="00941E6D"/>
    <w:rsid w:val="00944A44"/>
    <w:rsid w:val="009455A0"/>
    <w:rsid w:val="00947720"/>
    <w:rsid w:val="009632C3"/>
    <w:rsid w:val="0096790C"/>
    <w:rsid w:val="00974AC1"/>
    <w:rsid w:val="00977027"/>
    <w:rsid w:val="009947BC"/>
    <w:rsid w:val="0099517D"/>
    <w:rsid w:val="009A2FA7"/>
    <w:rsid w:val="009A78BA"/>
    <w:rsid w:val="009B48B7"/>
    <w:rsid w:val="009B76D2"/>
    <w:rsid w:val="009C184C"/>
    <w:rsid w:val="009C4587"/>
    <w:rsid w:val="009C5656"/>
    <w:rsid w:val="009D0C14"/>
    <w:rsid w:val="009D4096"/>
    <w:rsid w:val="009E0402"/>
    <w:rsid w:val="009E2E1F"/>
    <w:rsid w:val="009E729B"/>
    <w:rsid w:val="009E7DB0"/>
    <w:rsid w:val="009F075F"/>
    <w:rsid w:val="00A01D08"/>
    <w:rsid w:val="00A031D6"/>
    <w:rsid w:val="00A031F4"/>
    <w:rsid w:val="00A10AAC"/>
    <w:rsid w:val="00A110DB"/>
    <w:rsid w:val="00A135EF"/>
    <w:rsid w:val="00A16B6E"/>
    <w:rsid w:val="00A16F6A"/>
    <w:rsid w:val="00A20D28"/>
    <w:rsid w:val="00A22118"/>
    <w:rsid w:val="00A30078"/>
    <w:rsid w:val="00A30297"/>
    <w:rsid w:val="00A316B6"/>
    <w:rsid w:val="00A418E3"/>
    <w:rsid w:val="00A46C79"/>
    <w:rsid w:val="00A56EE6"/>
    <w:rsid w:val="00A60883"/>
    <w:rsid w:val="00A64C77"/>
    <w:rsid w:val="00A65842"/>
    <w:rsid w:val="00A65B71"/>
    <w:rsid w:val="00A744EC"/>
    <w:rsid w:val="00A77C9A"/>
    <w:rsid w:val="00A82228"/>
    <w:rsid w:val="00A834FB"/>
    <w:rsid w:val="00A8425B"/>
    <w:rsid w:val="00A9100D"/>
    <w:rsid w:val="00A92ADA"/>
    <w:rsid w:val="00AA161B"/>
    <w:rsid w:val="00AA41E0"/>
    <w:rsid w:val="00AA6E39"/>
    <w:rsid w:val="00AB07CC"/>
    <w:rsid w:val="00AB3B52"/>
    <w:rsid w:val="00AB49D0"/>
    <w:rsid w:val="00AC3026"/>
    <w:rsid w:val="00AC793E"/>
    <w:rsid w:val="00AD16BF"/>
    <w:rsid w:val="00AD2D32"/>
    <w:rsid w:val="00AD3112"/>
    <w:rsid w:val="00AD492A"/>
    <w:rsid w:val="00AE24D5"/>
    <w:rsid w:val="00B03049"/>
    <w:rsid w:val="00B04F1C"/>
    <w:rsid w:val="00B05451"/>
    <w:rsid w:val="00B0741E"/>
    <w:rsid w:val="00B16726"/>
    <w:rsid w:val="00B32AAC"/>
    <w:rsid w:val="00B44E7B"/>
    <w:rsid w:val="00B45FCA"/>
    <w:rsid w:val="00B47D11"/>
    <w:rsid w:val="00B55C4B"/>
    <w:rsid w:val="00B56827"/>
    <w:rsid w:val="00B575B7"/>
    <w:rsid w:val="00B639BB"/>
    <w:rsid w:val="00B7019F"/>
    <w:rsid w:val="00B71F04"/>
    <w:rsid w:val="00B74BFA"/>
    <w:rsid w:val="00B7651F"/>
    <w:rsid w:val="00B821A4"/>
    <w:rsid w:val="00B84925"/>
    <w:rsid w:val="00B95038"/>
    <w:rsid w:val="00BA04F1"/>
    <w:rsid w:val="00BA364E"/>
    <w:rsid w:val="00BA56DA"/>
    <w:rsid w:val="00BB21FA"/>
    <w:rsid w:val="00BB7193"/>
    <w:rsid w:val="00BB7CBA"/>
    <w:rsid w:val="00BC10A1"/>
    <w:rsid w:val="00BC4D0B"/>
    <w:rsid w:val="00BC6CE2"/>
    <w:rsid w:val="00BC6D48"/>
    <w:rsid w:val="00BD1B29"/>
    <w:rsid w:val="00BD26D3"/>
    <w:rsid w:val="00BD4333"/>
    <w:rsid w:val="00BE2EF1"/>
    <w:rsid w:val="00BE4C73"/>
    <w:rsid w:val="00BE6DE8"/>
    <w:rsid w:val="00BF1D6A"/>
    <w:rsid w:val="00BF2A0B"/>
    <w:rsid w:val="00BF2A86"/>
    <w:rsid w:val="00C04978"/>
    <w:rsid w:val="00C06821"/>
    <w:rsid w:val="00C06FBF"/>
    <w:rsid w:val="00C1131E"/>
    <w:rsid w:val="00C16F79"/>
    <w:rsid w:val="00C24175"/>
    <w:rsid w:val="00C26859"/>
    <w:rsid w:val="00C36BEF"/>
    <w:rsid w:val="00C433C3"/>
    <w:rsid w:val="00C4383A"/>
    <w:rsid w:val="00C512D8"/>
    <w:rsid w:val="00C6088E"/>
    <w:rsid w:val="00C66A84"/>
    <w:rsid w:val="00C82F0C"/>
    <w:rsid w:val="00C85638"/>
    <w:rsid w:val="00C86426"/>
    <w:rsid w:val="00C87C68"/>
    <w:rsid w:val="00C92868"/>
    <w:rsid w:val="00CA2F61"/>
    <w:rsid w:val="00CA48F3"/>
    <w:rsid w:val="00CB0960"/>
    <w:rsid w:val="00CB4FCB"/>
    <w:rsid w:val="00CB56EB"/>
    <w:rsid w:val="00CC63CD"/>
    <w:rsid w:val="00CD0045"/>
    <w:rsid w:val="00CD11E4"/>
    <w:rsid w:val="00CD139D"/>
    <w:rsid w:val="00CE0514"/>
    <w:rsid w:val="00CE19BC"/>
    <w:rsid w:val="00CE38D9"/>
    <w:rsid w:val="00CE6FC6"/>
    <w:rsid w:val="00CF21B5"/>
    <w:rsid w:val="00CF3898"/>
    <w:rsid w:val="00CF46D5"/>
    <w:rsid w:val="00CF689A"/>
    <w:rsid w:val="00D003CE"/>
    <w:rsid w:val="00D1088D"/>
    <w:rsid w:val="00D1269D"/>
    <w:rsid w:val="00D30825"/>
    <w:rsid w:val="00D30FBB"/>
    <w:rsid w:val="00D41EBA"/>
    <w:rsid w:val="00D47061"/>
    <w:rsid w:val="00D55FE5"/>
    <w:rsid w:val="00D6760B"/>
    <w:rsid w:val="00D71E88"/>
    <w:rsid w:val="00D745D3"/>
    <w:rsid w:val="00D74AE3"/>
    <w:rsid w:val="00D95439"/>
    <w:rsid w:val="00D97743"/>
    <w:rsid w:val="00DA19E7"/>
    <w:rsid w:val="00DA3DCB"/>
    <w:rsid w:val="00DB5B56"/>
    <w:rsid w:val="00DC047C"/>
    <w:rsid w:val="00DC6151"/>
    <w:rsid w:val="00DC7958"/>
    <w:rsid w:val="00DD16CB"/>
    <w:rsid w:val="00DD7954"/>
    <w:rsid w:val="00DE50EC"/>
    <w:rsid w:val="00DF28B3"/>
    <w:rsid w:val="00DF426E"/>
    <w:rsid w:val="00DF4E55"/>
    <w:rsid w:val="00DF5B5E"/>
    <w:rsid w:val="00DF7295"/>
    <w:rsid w:val="00E01379"/>
    <w:rsid w:val="00E05C19"/>
    <w:rsid w:val="00E10B62"/>
    <w:rsid w:val="00E13C05"/>
    <w:rsid w:val="00E13EE0"/>
    <w:rsid w:val="00E14760"/>
    <w:rsid w:val="00E15D57"/>
    <w:rsid w:val="00E16537"/>
    <w:rsid w:val="00E16700"/>
    <w:rsid w:val="00E27C58"/>
    <w:rsid w:val="00E35C0D"/>
    <w:rsid w:val="00E40639"/>
    <w:rsid w:val="00E55CC2"/>
    <w:rsid w:val="00E574A3"/>
    <w:rsid w:val="00E63E61"/>
    <w:rsid w:val="00E64F06"/>
    <w:rsid w:val="00E701B7"/>
    <w:rsid w:val="00E85A17"/>
    <w:rsid w:val="00E85FE0"/>
    <w:rsid w:val="00E91851"/>
    <w:rsid w:val="00E93E3F"/>
    <w:rsid w:val="00E9567A"/>
    <w:rsid w:val="00EA5191"/>
    <w:rsid w:val="00EB1D9A"/>
    <w:rsid w:val="00EB2FEF"/>
    <w:rsid w:val="00EB3CC2"/>
    <w:rsid w:val="00ED4441"/>
    <w:rsid w:val="00EE1FE2"/>
    <w:rsid w:val="00EE32BA"/>
    <w:rsid w:val="00EF7BBC"/>
    <w:rsid w:val="00F064BE"/>
    <w:rsid w:val="00F20BC9"/>
    <w:rsid w:val="00F21586"/>
    <w:rsid w:val="00F24494"/>
    <w:rsid w:val="00F27B35"/>
    <w:rsid w:val="00F313D3"/>
    <w:rsid w:val="00F36542"/>
    <w:rsid w:val="00F376AB"/>
    <w:rsid w:val="00F433DC"/>
    <w:rsid w:val="00F43584"/>
    <w:rsid w:val="00F44CA3"/>
    <w:rsid w:val="00F45C5F"/>
    <w:rsid w:val="00F72654"/>
    <w:rsid w:val="00F72CB7"/>
    <w:rsid w:val="00F7648F"/>
    <w:rsid w:val="00F8453F"/>
    <w:rsid w:val="00F91BAE"/>
    <w:rsid w:val="00FA5CB3"/>
    <w:rsid w:val="00FB582F"/>
    <w:rsid w:val="00FC1CC0"/>
    <w:rsid w:val="00FC412B"/>
    <w:rsid w:val="00FC7D46"/>
    <w:rsid w:val="00FD083C"/>
    <w:rsid w:val="00FD431E"/>
    <w:rsid w:val="00FD5FC5"/>
    <w:rsid w:val="00FD6B05"/>
    <w:rsid w:val="00FE3397"/>
    <w:rsid w:val="00FE4549"/>
    <w:rsid w:val="00FF1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92307"/>
  <w15:docId w15:val="{07FB0F69-CD50-4C5C-9FA7-9D4710B9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24FAF"/>
    <w:pPr>
      <w:spacing w:after="240" w:line="360" w:lineRule="auto"/>
      <w:jc w:val="both"/>
    </w:pPr>
    <w:rPr>
      <w:lang w:val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B58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24F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024FAF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4Char">
    <w:name w:val="Kop 4 Char"/>
    <w:basedOn w:val="Standaardalinea-lettertype"/>
    <w:link w:val="Kop4"/>
    <w:uiPriority w:val="9"/>
    <w:rsid w:val="00024FAF"/>
    <w:rPr>
      <w:rFonts w:eastAsiaTheme="majorEastAsia" w:cstheme="majorBidi"/>
      <w:b/>
      <w:bCs/>
      <w:i/>
      <w:iCs/>
      <w:color w:val="000000" w:themeColor="text1"/>
      <w:lang w:val="en-US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24FAF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Koptekst">
    <w:name w:val="header"/>
    <w:basedOn w:val="Standaard"/>
    <w:link w:val="KoptekstChar"/>
    <w:uiPriority w:val="99"/>
    <w:unhideWhenUsed/>
    <w:rsid w:val="008C2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2B15"/>
    <w:rPr>
      <w:lang w:val="en-US"/>
    </w:rPr>
  </w:style>
  <w:style w:type="paragraph" w:styleId="Voettekst">
    <w:name w:val="footer"/>
    <w:basedOn w:val="Standaard"/>
    <w:link w:val="VoettekstChar"/>
    <w:uiPriority w:val="99"/>
    <w:unhideWhenUsed/>
    <w:rsid w:val="008C2B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2B15"/>
    <w:rPr>
      <w:lang w:val="en-US"/>
    </w:rPr>
  </w:style>
  <w:style w:type="character" w:styleId="Hyperlink">
    <w:name w:val="Hyperlink"/>
    <w:basedOn w:val="Standaardalinea-lettertype"/>
    <w:uiPriority w:val="99"/>
    <w:unhideWhenUsed/>
    <w:rsid w:val="00FF1DC4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1851"/>
    <w:rPr>
      <w:rFonts w:ascii="Tahoma" w:hAnsi="Tahoma" w:cs="Tahoma"/>
      <w:sz w:val="16"/>
      <w:szCs w:val="16"/>
      <w:lang w:val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9C184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C184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C184C"/>
    <w:rPr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C184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C184C"/>
    <w:rPr>
      <w:b/>
      <w:bCs/>
      <w:sz w:val="20"/>
      <w:szCs w:val="20"/>
      <w:lang w:val="en-US"/>
    </w:rPr>
  </w:style>
  <w:style w:type="character" w:customStyle="1" w:styleId="Kop1Char">
    <w:name w:val="Kop 1 Char"/>
    <w:basedOn w:val="Standaardalinea-lettertype"/>
    <w:link w:val="Kop1"/>
    <w:uiPriority w:val="9"/>
    <w:rsid w:val="00FB58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customStyle="1" w:styleId="EndNoteBibliographyTitle">
    <w:name w:val="EndNote Bibliography Title"/>
    <w:basedOn w:val="Standaard"/>
    <w:link w:val="EndNoteBibliographyTitleChar"/>
    <w:rsid w:val="00202C55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Standaardalinea-lettertype"/>
    <w:link w:val="EndNoteBibliographyTitle"/>
    <w:rsid w:val="00202C55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Standaard"/>
    <w:link w:val="EndNoteBibliographyChar"/>
    <w:rsid w:val="00202C55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Standaardalinea-lettertype"/>
    <w:link w:val="EndNoteBibliography"/>
    <w:rsid w:val="00202C55"/>
    <w:rPr>
      <w:rFonts w:ascii="Calibri" w:hAnsi="Calibri" w:cs="Calibri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vincent.segers@uantwerpen.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CFB2D8-D27F-4C3F-AB39-93566BBB1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539</Words>
  <Characters>2965</Characters>
  <Application>Microsoft Office Word</Application>
  <DocSecurity>0</DocSecurity>
  <Lines>24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UA</Company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Vermeulen Zarha</dc:creator>
  <cp:lastModifiedBy>Segers Vincent</cp:lastModifiedBy>
  <cp:revision>8</cp:revision>
  <cp:lastPrinted>2017-09-13T08:19:00Z</cp:lastPrinted>
  <dcterms:created xsi:type="dcterms:W3CDTF">2018-12-30T18:17:00Z</dcterms:created>
  <dcterms:modified xsi:type="dcterms:W3CDTF">2018-12-30T18:28:00Z</dcterms:modified>
</cp:coreProperties>
</file>